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ind w:right="425" w:hanging="0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p>
      <w:pPr>
        <w:pStyle w:val="Normal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>
      <w:pPr>
        <w:pStyle w:val="Normal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(Warenausgang und Versand)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PB008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jc w:val="right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  <w:r>
        <w:br w:type="page"/>
      </w:r>
    </w:p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  <w:t>Inhaltsverzeichnis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fldChar w:fldCharType="begin"/>
          </w:r>
          <w:r>
            <w:rPr/>
            <w:instrText> TOC \o "1-3" \u \h</w:instrText>
          </w:r>
          <w:r>
            <w:rPr/>
            <w:fldChar w:fldCharType="separate"/>
          </w:r>
          <w:r>
            <w:rPr/>
            <w:t>0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Zweck / Geltungsbereich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0.1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Änderungsdienst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0.2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Hinweise</w:t>
            <w:tab/>
            <w:t>3</w:t>
          </w:r>
        </w:p>
        <w:p>
          <w:pPr>
            <w:pStyle w:val="Inhaltsverzeichnis2"/>
            <w:tabs>
              <w:tab w:val="clear" w:pos="709"/>
              <w:tab w:val="left" w:pos="8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</w:rPr>
          </w:pPr>
          <w:r>
            <w:rPr/>
            <w:t>0.3</w:t>
          </w:r>
          <w:r>
            <w:rPr>
              <w:rFonts w:eastAsia="" w:cs="" w:ascii="Calibri" w:hAnsi="Calibri" w:asciiTheme="minorHAnsi" w:cstheme="minorBidi" w:eastAsiaTheme="minorEastAsia" w:hAnsiTheme="minorHAnsi"/>
              <w:caps w:val="false"/>
              <w:smallCaps w:val="false"/>
            </w:rPr>
            <w:tab/>
          </w:r>
          <w:r>
            <w:rPr/>
            <w:t>Prozessparameter</w:t>
            <w:tab/>
            <w:t>3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1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Prozessdarstellung</w:t>
            <w:tab/>
            <w:t>4</w:t>
          </w:r>
        </w:p>
        <w:p>
          <w:pPr>
            <w:pStyle w:val="Inhaltsverzeichnis1"/>
            <w:tabs>
              <w:tab w:val="clear" w:pos="709"/>
              <w:tab w:val="left" w:pos="40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caps w:val="false"/>
              <w:smallCaps w:val="false"/>
            </w:rPr>
          </w:pPr>
          <w:r>
            <w:rPr/>
            <w:t>2</w:t>
          </w:r>
          <w:r>
            <w:rPr>
              <w:rFonts w:eastAsia="" w:cs="" w:ascii="Calibri" w:hAnsi="Calibri" w:asciiTheme="minorHAnsi" w:cstheme="minorBidi" w:eastAsiaTheme="minorEastAsia" w:hAnsiTheme="minorHAnsi"/>
              <w:b w:val="false"/>
              <w:caps w:val="false"/>
              <w:smallCaps w:val="false"/>
            </w:rPr>
            <w:tab/>
          </w:r>
          <w:r>
            <w:rPr/>
            <w:t>Mitgeltende Unterlagen</w:t>
            <w:tab/>
            <w:t>4</w:t>
          </w:r>
          <w:r>
            <w:rPr/>
            <w:fldChar w:fldCharType="end"/>
          </w:r>
        </w:p>
      </w:sdtContent>
    </w:sdt>
    <w:p>
      <w:pPr>
        <w:pStyle w:val="Normal"/>
        <w:spacing w:before="240" w:after="240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</w:r>
      <w:r>
        <w:br w:type="page"/>
      </w:r>
    </w:p>
    <w:p>
      <w:pPr>
        <w:pStyle w:val="Berschrift1"/>
        <w:keepNext w:val="true"/>
        <w:numPr>
          <w:ilvl w:val="0"/>
          <w:numId w:val="2"/>
        </w:numPr>
        <w:ind w:left="720" w:right="0" w:hanging="720"/>
        <w:jc w:val="left"/>
        <w:rPr/>
      </w:pPr>
      <w:bookmarkStart w:id="0" w:name="_Toc363468183"/>
      <w:bookmarkStart w:id="1" w:name="_Toc27411028"/>
      <w:bookmarkStart w:id="2" w:name="_Toc110398348"/>
      <w:bookmarkStart w:id="3" w:name="_Toc229499997"/>
      <w:bookmarkEnd w:id="3"/>
      <w:r>
        <w:rPr/>
        <w:t>Zweck</w:t>
      </w:r>
      <w:bookmarkEnd w:id="2"/>
      <w:r>
        <w:rPr/>
        <w:t xml:space="preserve"> / Geltungsbereich</w:t>
      </w:r>
      <w:bookmarkEnd w:id="0"/>
      <w:bookmarkEnd w:id="1"/>
      <w:r>
        <w:rPr/>
        <w:t xml:space="preserve"> </w:t>
      </w:r>
    </w:p>
    <w:p>
      <w:pPr>
        <w:pStyle w:val="Normal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Prozessbeschreibung beschreibt die Abläufe für den Bereich Warenausgang und Versand in der OsTech</w:t>
      </w:r>
      <w:r>
        <w:rPr>
          <w:rFonts w:cs="Arial" w:ascii="Arial" w:hAnsi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>
      <w:pPr>
        <w:pStyle w:val="Berschrift2"/>
        <w:spacing w:before="240" w:after="120"/>
        <w:rPr/>
      </w:pPr>
      <w:bookmarkStart w:id="4" w:name="_Toc110398363"/>
      <w:bookmarkStart w:id="5" w:name="_Toc363468184"/>
      <w:bookmarkStart w:id="6" w:name="_Toc27411029"/>
      <w:r>
        <w:rPr/>
        <w:t>0.1</w:t>
        <w:tab/>
        <w:t>Änderungsdienst</w:t>
      </w:r>
      <w:bookmarkEnd w:id="4"/>
      <w:bookmarkEnd w:id="5"/>
      <w:bookmarkEnd w:id="6"/>
    </w:p>
    <w:p>
      <w:pPr>
        <w:pStyle w:val="Normal"/>
        <w:jc w:val="both"/>
        <w:rPr/>
      </w:pPr>
      <w:r>
        <w:rPr>
          <w:rFonts w:ascii="Arial" w:hAnsi="Arial"/>
          <w:sz w:val="22"/>
        </w:rPr>
        <w:t>Die Prozessbeschreibung unterliegt dem Änderungsdienst. Zuständig ist der QMB.</w:t>
      </w:r>
    </w:p>
    <w:p>
      <w:pPr>
        <w:pStyle w:val="Berschrift2"/>
        <w:spacing w:before="240" w:after="120"/>
        <w:rPr/>
      </w:pPr>
      <w:bookmarkStart w:id="7" w:name="_Toc110398364"/>
      <w:bookmarkStart w:id="8" w:name="_Toc363468185"/>
      <w:bookmarkStart w:id="9" w:name="_Toc27411030"/>
      <w:r>
        <w:rPr/>
        <w:t>0.2</w:t>
        <w:tab/>
        <w:t>Hinweise</w:t>
      </w:r>
      <w:bookmarkEnd w:id="7"/>
      <w:bookmarkEnd w:id="8"/>
      <w:bookmarkEnd w:id="9"/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>
        <w:rPr>
          <w:rFonts w:cs="Arial" w:ascii="Arial" w:hAnsi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Unternehmens ist nur mit Genehmigung der Geschäftsführung oder des QMB zulässig.</w:t>
      </w:r>
    </w:p>
    <w:p>
      <w:pPr>
        <w:pStyle w:val="Berschrift2"/>
        <w:spacing w:before="240" w:after="120"/>
        <w:rPr/>
      </w:pPr>
      <w:bookmarkStart w:id="10" w:name="_Toc27411031"/>
      <w:bookmarkStart w:id="11" w:name="_Toc466556545"/>
      <w:bookmarkStart w:id="12" w:name="_Toc466557260"/>
      <w:bookmarkStart w:id="13" w:name="_Toc491015760"/>
      <w:r>
        <w:rPr/>
        <w:t>0.3</w:t>
        <w:tab/>
        <w:t>Prozess</w:t>
      </w:r>
      <w:bookmarkEnd w:id="11"/>
      <w:bookmarkEnd w:id="12"/>
      <w:bookmarkEnd w:id="13"/>
      <w:r>
        <w:rPr/>
        <w:t>parameter</w:t>
      </w:r>
      <w:bookmarkEnd w:id="10"/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4671"/>
      </w:tblGrid>
      <w:tr>
        <w:trPr/>
        <w:tc>
          <w:tcPr>
            <w:tcW w:w="9343" w:type="dxa"/>
            <w:gridSpan w:val="2"/>
            <w:tcBorders>
              <w:bottom w:val="nil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Organisation</w:t>
            </w:r>
          </w:p>
        </w:tc>
      </w:tr>
      <w:tr>
        <w:trPr/>
        <w:tc>
          <w:tcPr>
            <w:tcW w:w="4672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Prozesseigentümer</w:t>
            </w:r>
          </w:p>
        </w:tc>
        <w:tc>
          <w:tcPr>
            <w:tcW w:w="4671" w:type="dxa"/>
            <w:tcBorders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Logistik, Versand</w:t>
            </w:r>
          </w:p>
        </w:tc>
      </w:tr>
      <w:tr>
        <w:trPr/>
        <w:tc>
          <w:tcPr>
            <w:tcW w:w="4672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Geltungsbereich</w:t>
            </w:r>
          </w:p>
        </w:tc>
        <w:tc>
          <w:tcPr>
            <w:tcW w:w="4671" w:type="dxa"/>
            <w:tcBorders>
              <w:top w:val="nil"/>
              <w:bottom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Gesamtes Unternehmen</w:t>
            </w:r>
          </w:p>
        </w:tc>
      </w:tr>
      <w:tr>
        <w:trPr/>
        <w:tc>
          <w:tcPr>
            <w:tcW w:w="467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Zyklus Dokumentenüberprüfung</w:t>
            </w:r>
          </w:p>
        </w:tc>
        <w:tc>
          <w:tcPr>
            <w:tcW w:w="4671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de-DE" w:eastAsia="de-DE" w:bidi="ar-SA"/>
              </w:rPr>
              <w:t>1x jährlich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before="120" w:after="120"/>
              <w:ind w:right="425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Ziele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Fehlerfreie und termingerechte Lieferungen</w:t>
            </w:r>
          </w:p>
        </w:tc>
      </w:tr>
    </w:tbl>
    <w:p>
      <w:pPr>
        <w:pStyle w:val="Normal"/>
        <w:ind w:right="425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44"/>
      </w:tblGrid>
      <w:tr>
        <w:trPr/>
        <w:tc>
          <w:tcPr>
            <w:tcW w:w="934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 w:val="false"/>
              <w:spacing w:before="120" w:after="120"/>
              <w:ind w:left="0" w:hanging="0"/>
              <w:contextualSpacing/>
              <w:jc w:val="left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Messgrößen/Kennzahlen</w:t>
            </w:r>
          </w:p>
        </w:tc>
      </w:tr>
      <w:tr>
        <w:trPr/>
        <w:tc>
          <w:tcPr>
            <w:tcW w:w="934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Anzahl Kundenbeanstandungen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120"/>
              <w:ind w:left="714" w:right="425" w:hanging="357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val="de-DE" w:eastAsia="de-DE" w:bidi="ar-SA"/>
              </w:rPr>
              <w:t>Kundenzufriedenheit</w:t>
            </w:r>
            <w:bookmarkStart w:id="14" w:name="_Toc491015761"/>
            <w:bookmarkEnd w:id="14"/>
          </w:p>
        </w:tc>
      </w:tr>
    </w:tbl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35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3"/>
        <w:gridCol w:w="4255"/>
        <w:gridCol w:w="2262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Datum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Rev.</w:t>
            </w:r>
          </w:p>
        </w:tc>
        <w:tc>
          <w:tcPr>
            <w:tcW w:w="4255" w:type="dxa"/>
            <w:tcBorders>
              <w:top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Modifikation</w:t>
            </w:r>
          </w:p>
        </w:tc>
        <w:tc>
          <w:tcPr>
            <w:tcW w:w="2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abelleninhalt"/>
              <w:widowControl w:val="false"/>
              <w:rPr>
                <w:rFonts w:ascii="Arial" w:hAnsi="Arial" w:eastAsia="Times New Roman" w:cs="Arial"/>
                <w:b/>
                <w:b/>
                <w:bCs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de-DE" w:eastAsia="de-DE" w:bidi="ar-SA"/>
              </w:rPr>
              <w:t>Name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9.4.2024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1.0</w:t>
            </w:r>
          </w:p>
        </w:tc>
        <w:tc>
          <w:tcPr>
            <w:tcW w:w="4255" w:type="dxa"/>
            <w:tcBorders>
              <w:top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initial doc.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24.7.2024</w:t>
            </w:r>
          </w:p>
        </w:tc>
        <w:tc>
          <w:tcPr>
            <w:tcW w:w="1133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1.1</w:t>
            </w:r>
          </w:p>
        </w:tc>
        <w:tc>
          <w:tcPr>
            <w:tcW w:w="4255" w:type="dxa"/>
            <w:tcBorders/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Anpassungen an interne Abläufe</w:t>
            </w:r>
          </w:p>
        </w:tc>
        <w:tc>
          <w:tcPr>
            <w:tcW w:w="2262" w:type="dxa"/>
            <w:tcBorders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  <w:t>Hohberg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4255" w:type="dxa"/>
            <w:tcBorders>
              <w:bottom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  <w:tc>
          <w:tcPr>
            <w:tcW w:w="226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rPr>
                <w:rFonts w:ascii="Arial" w:hAnsi="Arial" w:eastAsia="Times New Roman"/>
                <w:kern w:val="0"/>
                <w:sz w:val="22"/>
                <w:szCs w:val="22"/>
                <w:lang w:val="de-DE" w:eastAsia="de-DE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de-DE" w:eastAsia="de-DE" w:bidi="ar-SA"/>
              </w:rPr>
            </w:r>
          </w:p>
        </w:tc>
      </w:tr>
    </w:tbl>
    <w:p>
      <w:pPr>
        <w:pStyle w:val="Berschrift1"/>
        <w:rPr/>
      </w:pPr>
      <w:r>
        <w:br w:type="page"/>
      </w:r>
      <w:bookmarkStart w:id="15" w:name="_Toc27411032"/>
      <w:bookmarkStart w:id="16" w:name="_Toc229801650"/>
      <w:bookmarkStart w:id="17" w:name="_Toc2294999971"/>
      <w:bookmarkEnd w:id="15"/>
      <w:bookmarkEnd w:id="16"/>
      <w:bookmarkEnd w:id="17"/>
      <w:r>
        <w:rPr/>
        <w:t>1</w:t>
        <w:tab/>
        <w:t>Prozessdarstellung</w:t>
      </w:r>
    </w:p>
    <w:p>
      <w:pPr>
        <w:pStyle w:val="Rahmeninhalt"/>
        <w:overflowPunct w:val="true"/>
        <w:spacing w:lineRule="auto" w:line="240" w:before="0" w:after="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379095</wp:posOffset>
                </wp:positionH>
                <wp:positionV relativeFrom="paragraph">
                  <wp:posOffset>56515</wp:posOffset>
                </wp:positionV>
                <wp:extent cx="1270" cy="1270"/>
                <wp:effectExtent l="0" t="0" r="0" b="0"/>
                <wp:wrapSquare wrapText="bothSides"/>
                <wp:docPr id="1" name="Line 2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.85pt,4.45pt" to="29.9pt,4.45pt" ID="Line 244" stroked="t" style="position:absolute;flip:x">
                <v:stroke color="black" weight="9360" dashstyle="shortdot" joinstyle="round" endcap="flat"/>
                <v:fill o:detectmouseclick="t" on="false"/>
                <w10:wrap type="square"/>
              </v:line>
            </w:pict>
          </mc:Fallback>
        </mc:AlternateContent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20955</wp:posOffset>
            </wp:positionH>
            <wp:positionV relativeFrom="paragraph">
              <wp:posOffset>98425</wp:posOffset>
            </wp:positionV>
            <wp:extent cx="4291330" cy="4751705"/>
            <wp:effectExtent l="0" t="0" r="0" b="0"/>
            <wp:wrapSquare wrapText="largest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33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single"/>
          <w:vertAlign w:val="baseline"/>
        </w:rPr>
        <w:t>BEMERKUNGEN: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overflowPunct w:val="tru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single"/>
          <w:vertAlign w:val="baseline"/>
        </w:rPr>
        <w:t>Abnahmekriterien:</w:t>
      </w:r>
    </w:p>
    <w:p>
      <w:pPr>
        <w:pStyle w:val="Rahmeninhalt"/>
        <w:overflowPunct w:val="tru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Sichtkontrolle</w:t>
      </w:r>
    </w:p>
    <w:p>
      <w:pPr>
        <w:pStyle w:val="Rahmeninhalt"/>
        <w:overflowPunct w:val="tru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Überprüfung gemäß Auftrag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Rahmeninhalt"/>
        <w:overflowPunct w:val="tru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i.O. = in Ordnung</w:t>
      </w:r>
    </w:p>
    <w:p>
      <w:pPr>
        <w:pStyle w:val="Rahmeninhalt"/>
        <w:overflowPunct w:val="true"/>
        <w:spacing w:lineRule="auto" w:line="240" w:before="0" w:after="0"/>
        <w:jc w:val="left"/>
        <w:rPr>
          <w:color w:val="00000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16"/>
          <w:sz w:val="16"/>
          <w:szCs w:val="16"/>
          <w:u w:val="none"/>
          <w:vertAlign w:val="baseline"/>
        </w:rPr>
        <w:t>n.i.O = nicht in Ordnung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erschrift1"/>
        <w:rPr/>
      </w:pPr>
      <w:bookmarkStart w:id="18" w:name="_Toc110398362"/>
      <w:bookmarkStart w:id="19" w:name="_Toc229466049"/>
      <w:bookmarkStart w:id="20" w:name="_Toc229801651"/>
      <w:bookmarkStart w:id="21" w:name="_Toc27411033"/>
      <w:r>
        <w:rPr/>
        <w:t>2</w:t>
        <w:tab/>
        <w:t>Mitgeltende Unterlagen</w:t>
      </w:r>
      <w:bookmarkEnd w:id="18"/>
      <w:bookmarkEnd w:id="19"/>
      <w:bookmarkEnd w:id="20"/>
      <w:bookmarkEnd w:id="21"/>
    </w:p>
    <w:p>
      <w:pPr>
        <w:pStyle w:val="Normal"/>
        <w:numPr>
          <w:ilvl w:val="0"/>
          <w:numId w:val="3"/>
        </w:numPr>
        <w:tabs>
          <w:tab w:val="clear" w:pos="709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Alle jeweils gültigen Prozessbeschreibungen und Arbeitsanweisungen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1134" w:leader="none"/>
        </w:tabs>
        <w:spacing w:before="0" w:after="120"/>
        <w:ind w:left="1429" w:hanging="720"/>
        <w:rPr/>
      </w:pPr>
      <w:r>
        <w:rPr>
          <w:rFonts w:ascii="Arial" w:hAnsi="Arial"/>
          <w:sz w:val="22"/>
        </w:rPr>
        <w:t>Auftragspapiere</w:t>
      </w:r>
    </w:p>
    <w:p>
      <w:pPr>
        <w:pStyle w:val="Normal"/>
        <w:rPr>
          <w:rFonts w:ascii="Arial" w:hAnsi="Arial"/>
          <w:b/>
          <w:b/>
          <w:sz w:val="2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418" w:right="1134" w:header="720" w:top="1134" w:footer="851" w:bottom="113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3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 w:noHBand="0" w:noVBand="0" w:firstColumn="1" w:lastRow="1" w:lastColumn="1" w:firstRow="1"/>
    </w:tblPr>
    <w:tblGrid>
      <w:gridCol w:w="2128"/>
      <w:gridCol w:w="805"/>
      <w:gridCol w:w="992"/>
      <w:gridCol w:w="3221"/>
      <w:gridCol w:w="2090"/>
    </w:tblGrid>
    <w:tr>
      <w:trPr>
        <w:trHeight w:val="70" w:hRule="atLeast"/>
      </w:trPr>
      <w:tc>
        <w:tcPr>
          <w:tcW w:w="21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1.1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24.07.2024</w:t>
          </w:r>
        </w:p>
      </w:tc>
      <w:tc>
        <w:tcPr>
          <w:tcW w:w="20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Fuzeile"/>
            <w:widowControl w:val="false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Seite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PAGE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4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 xml:space="preserve"> von </w:t>
          </w:r>
          <w:r>
            <w:rPr>
              <w:rStyle w:val="Pagenumber"/>
              <w:rFonts w:cs="Arial"/>
              <w:sz w:val="16"/>
              <w:szCs w:val="16"/>
            </w:rPr>
            <w:fldChar w:fldCharType="begin"/>
          </w:r>
          <w:r>
            <w:rPr>
              <w:rStyle w:val="Pagenumber"/>
              <w:sz w:val="16"/>
              <w:szCs w:val="16"/>
              <w:rFonts w:cs="Arial"/>
            </w:rPr>
            <w:instrText> NUMPAGES </w:instrText>
          </w:r>
          <w:r>
            <w:rPr>
              <w:rStyle w:val="Pagenumber"/>
              <w:sz w:val="16"/>
              <w:szCs w:val="16"/>
              <w:rFonts w:cs="Arial"/>
            </w:rPr>
            <w:fldChar w:fldCharType="separate"/>
          </w:r>
          <w:r>
            <w:rPr>
              <w:rStyle w:val="Pagenumber"/>
              <w:sz w:val="16"/>
              <w:szCs w:val="16"/>
              <w:rFonts w:cs="Arial"/>
            </w:rPr>
            <w:t>4</w:t>
          </w:r>
          <w:r>
            <w:rPr>
              <w:rStyle w:val="Pagenumber"/>
              <w:sz w:val="16"/>
              <w:szCs w:val="16"/>
              <w:rFonts w:cs="Arial"/>
            </w:rPr>
            <w:fldChar w:fldCharType="end"/>
          </w:r>
        </w:p>
      </w:tc>
    </w:tr>
  </w:tbl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right"/>
      <w:rPr>
        <w:sz w:val="16"/>
        <w:szCs w:val="16"/>
      </w:rPr>
    </w:pPr>
    <w:r>
      <w:rPr>
        <w:rFonts w:cs="Arial"/>
        <w:sz w:val="16"/>
        <w:szCs w:val="16"/>
      </w:rPr>
      <w:t xml:space="preserve">Seite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PAGE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1</w:t>
    </w:r>
    <w:r>
      <w:rPr>
        <w:rStyle w:val="Pagenumber"/>
        <w:sz w:val="16"/>
        <w:szCs w:val="16"/>
        <w:rFonts w:cs="Arial"/>
      </w:rPr>
      <w:fldChar w:fldCharType="end"/>
    </w:r>
    <w:r>
      <w:rPr>
        <w:rStyle w:val="Pagenumber"/>
        <w:rFonts w:cs="Arial"/>
        <w:sz w:val="16"/>
        <w:szCs w:val="16"/>
      </w:rPr>
      <w:t xml:space="preserve"> von </w:t>
    </w:r>
    <w:r>
      <w:rPr>
        <w:rStyle w:val="Pagenumber"/>
        <w:rFonts w:cs="Arial"/>
        <w:sz w:val="16"/>
        <w:szCs w:val="16"/>
      </w:rPr>
      <w:fldChar w:fldCharType="begin"/>
    </w:r>
    <w:r>
      <w:rPr>
        <w:rStyle w:val="Pagenumber"/>
        <w:sz w:val="16"/>
        <w:szCs w:val="16"/>
        <w:rFonts w:cs="Arial"/>
      </w:rPr>
      <w:instrText> NUMPAGES </w:instrText>
    </w:r>
    <w:r>
      <w:rPr>
        <w:rStyle w:val="Pagenumber"/>
        <w:sz w:val="16"/>
        <w:szCs w:val="16"/>
        <w:rFonts w:cs="Arial"/>
      </w:rPr>
      <w:fldChar w:fldCharType="separate"/>
    </w:r>
    <w:r>
      <w:rPr>
        <w:rStyle w:val="Pagenumber"/>
        <w:sz w:val="16"/>
        <w:szCs w:val="16"/>
        <w:rFonts w:cs="Arial"/>
      </w:rPr>
      <w:t>4</w:t>
    </w:r>
    <w:r>
      <w:rPr>
        <w:rStyle w:val="Pagenumber"/>
        <w:sz w:val="16"/>
        <w:szCs w:val="16"/>
        <w:rFonts w:cs="Arial"/>
      </w:rPr>
      <w:fldChar w:fldCharType="end"/>
    </w:r>
  </w:p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tabs>
        <w:tab w:val="clear" w:pos="9071"/>
        <w:tab w:val="center" w:pos="4819" w:leader="none"/>
        <w:tab w:val="right" w:pos="9356" w:leader="none"/>
      </w:tabs>
      <w:rPr/>
    </w:pPr>
    <w:r>
      <w:rPr>
        <w:b/>
        <w:sz w:val="32"/>
        <w:szCs w:val="32"/>
      </w:rPr>
      <w:t>Prozessbeschreibung</w:t>
    </w:r>
    <w:r>
      <w:rPr>
        <w:rFonts w:cs="Arial"/>
        <w:b/>
        <w:color w:val="C00000"/>
        <w:sz w:val="32"/>
        <w:szCs w:val="32"/>
      </w:rPr>
      <w:t xml:space="preserve"> </w:t>
      <w:tab/>
    </w:r>
    <w:r>
      <w:rPr>
        <w:b/>
        <w:sz w:val="32"/>
        <w:szCs w:val="32"/>
      </w:rPr>
      <w:t>Warenausgang und Versand</w:t>
    </w:r>
  </w:p>
  <w:p>
    <w:pPr>
      <w:pStyle w:val="Kopfzeile"/>
      <w:rPr>
        <w:sz w:val="32"/>
        <w:szCs w:val="32"/>
      </w:rPr>
    </w:pPr>
    <w:r>
      <w:rPr>
        <w:sz w:val="32"/>
        <w:szCs w:val="32"/>
      </w:rPr>
      <w:t>PB008</w:t>
    </w:r>
  </w:p>
  <w:p>
    <w:pPr>
      <w:pStyle w:val="Kopfzeil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lvl w:ilvl="0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embedSystemFonts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240" w:after="120"/>
      <w:ind w:right="425" w:hanging="0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Normal"/>
    <w:next w:val="Normal"/>
    <w:qFormat/>
    <w:pPr>
      <w:spacing w:before="120" w:after="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Normal"/>
    <w:next w:val="Normal"/>
    <w:qFormat/>
    <w:pPr>
      <w:keepNext w:val="true"/>
      <w:jc w:val="both"/>
      <w:outlineLvl w:val="2"/>
    </w:pPr>
    <w:rPr>
      <w:rFonts w:ascii="Arial" w:hAnsi="Arial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FuzeileZchn" w:customStyle="1">
    <w:name w:val="Fußzeile Zchn"/>
    <w:link w:val="Fuzeile"/>
    <w:qFormat/>
    <w:rsid w:val="00be3df5"/>
    <w:rPr>
      <w:rFonts w:ascii="Arial" w:hAnsi="Arial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b22eb4"/>
    <w:rPr>
      <w:rFonts w:ascii="Tahoma" w:hAnsi="Tahoma" w:cs="Tahoma"/>
      <w:sz w:val="16"/>
      <w:szCs w:val="16"/>
    </w:rPr>
  </w:style>
  <w:style w:type="character" w:styleId="KopfzeileZchn" w:customStyle="1">
    <w:name w:val="Kopfzeile Zchn"/>
    <w:basedOn w:val="DefaultParagraphFont"/>
    <w:link w:val="Kopfzeile"/>
    <w:qFormat/>
    <w:rsid w:val="00c877f3"/>
    <w:rPr>
      <w:rFonts w:ascii="Arial" w:hAnsi="Arial"/>
    </w:rPr>
  </w:style>
  <w:style w:type="character" w:styleId="TextkrperZeileneinzugZchn" w:customStyle="1">
    <w:name w:val="Textkörper-Zeileneinzug Zchn"/>
    <w:basedOn w:val="DefaultParagraphFont"/>
    <w:link w:val="Textkrper-Zeileneinzug"/>
    <w:qFormat/>
    <w:rsid w:val="00e03a27"/>
    <w:rPr>
      <w:rFonts w:ascii="Arial" w:hAnsi="Arial"/>
      <w:b/>
      <w:sz w:val="24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krper">
    <w:name w:val="Body Text"/>
    <w:basedOn w:val="Normal"/>
    <w:pPr>
      <w:ind w:right="425" w:hanging="0"/>
      <w:jc w:val="both"/>
    </w:pPr>
    <w:rPr>
      <w:rFonts w:ascii="Arial" w:hAnsi="Arial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Inhaltsverzeichnis1">
    <w:name w:val="TOC 1"/>
    <w:basedOn w:val="Normal"/>
    <w:next w:val="Normal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Inhaltsverzeichnis2">
    <w:name w:val="TOC 2"/>
    <w:basedOn w:val="Normal"/>
    <w:next w:val="Normal"/>
    <w:semiHidden/>
    <w:rsid w:val="00766d07"/>
    <w:pPr>
      <w:ind w:left="200" w:hanging="0"/>
    </w:pPr>
    <w:rPr>
      <w:rFonts w:ascii="Arial" w:hAnsi="Arial"/>
      <w:caps/>
      <w:sz w:val="22"/>
      <w:szCs w:val="22"/>
    </w:rPr>
  </w:style>
  <w:style w:type="paragraph" w:styleId="Inhaltsverzeichnis3">
    <w:name w:val="TOC 3"/>
    <w:basedOn w:val="Normal"/>
    <w:next w:val="Normal"/>
    <w:semiHidden/>
    <w:rsid w:val="00766d07"/>
    <w:pPr>
      <w:ind w:left="400" w:hanging="0"/>
    </w:pPr>
    <w:rPr>
      <w:rFonts w:ascii="Arial" w:hAnsi="Arial"/>
      <w:sz w:val="22"/>
      <w:szCs w:val="22"/>
    </w:rPr>
  </w:style>
  <w:style w:type="paragraph" w:styleId="Inhaltsverzeichnis4">
    <w:name w:val="TOC 4"/>
    <w:basedOn w:val="Normal"/>
    <w:next w:val="Normal"/>
    <w:semiHidden/>
    <w:pPr>
      <w:ind w:left="600" w:hanging="0"/>
    </w:pPr>
    <w:rPr>
      <w:sz w:val="18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Fuzeile">
    <w:name w:val="Footer"/>
    <w:basedOn w:val="Normal"/>
    <w:link w:val="FuzeileZchn"/>
    <w:pPr>
      <w:tabs>
        <w:tab w:val="clear" w:pos="709"/>
        <w:tab w:val="center" w:pos="4819" w:leader="none"/>
        <w:tab w:val="right" w:pos="9071" w:leader="none"/>
      </w:tabs>
    </w:pPr>
    <w:rPr>
      <w:rFonts w:ascii="Arial" w:hAnsi="Arial"/>
    </w:rPr>
  </w:style>
  <w:style w:type="paragraph" w:styleId="EinzugTextkrper">
    <w:name w:val="Body Text Indent"/>
    <w:basedOn w:val="Normal"/>
    <w:link w:val="Textkrper-ZeileneinzugZchn"/>
    <w:pPr/>
    <w:rPr>
      <w:rFonts w:ascii="Arial" w:hAnsi="Arial"/>
      <w:b/>
      <w:sz w:val="24"/>
    </w:rPr>
  </w:style>
  <w:style w:type="paragraph" w:styleId="BodyText2">
    <w:name w:val="Body Text 2"/>
    <w:basedOn w:val="Normal"/>
    <w:qFormat/>
    <w:pPr>
      <w:ind w:right="425" w:hanging="0"/>
    </w:pPr>
    <w:rPr>
      <w:rFonts w:ascii="Arial" w:hAnsi="Arial"/>
    </w:rPr>
  </w:style>
  <w:style w:type="paragraph" w:styleId="Inhaltsverzeichnis5">
    <w:name w:val="TOC 5"/>
    <w:basedOn w:val="Normal"/>
    <w:next w:val="Normal"/>
    <w:autoRedefine/>
    <w:semiHidden/>
    <w:pPr>
      <w:ind w:left="800" w:hanging="0"/>
    </w:pPr>
    <w:rPr>
      <w:sz w:val="18"/>
    </w:rPr>
  </w:style>
  <w:style w:type="paragraph" w:styleId="Inhaltsverzeichnis6">
    <w:name w:val="TOC 6"/>
    <w:basedOn w:val="Normal"/>
    <w:next w:val="Normal"/>
    <w:autoRedefine/>
    <w:semiHidden/>
    <w:pPr>
      <w:ind w:left="1000" w:hanging="0"/>
    </w:pPr>
    <w:rPr>
      <w:sz w:val="18"/>
    </w:rPr>
  </w:style>
  <w:style w:type="paragraph" w:styleId="Inhaltsverzeichnis7">
    <w:name w:val="TOC 7"/>
    <w:basedOn w:val="Normal"/>
    <w:next w:val="Normal"/>
    <w:autoRedefine/>
    <w:semiHidden/>
    <w:pPr>
      <w:ind w:left="1200" w:hanging="0"/>
    </w:pPr>
    <w:rPr>
      <w:sz w:val="18"/>
    </w:rPr>
  </w:style>
  <w:style w:type="paragraph" w:styleId="Inhaltsverzeichnis8">
    <w:name w:val="TOC 8"/>
    <w:basedOn w:val="Normal"/>
    <w:next w:val="Normal"/>
    <w:autoRedefine/>
    <w:semiHidden/>
    <w:pPr>
      <w:ind w:left="1400" w:hanging="0"/>
    </w:pPr>
    <w:rPr>
      <w:sz w:val="18"/>
    </w:rPr>
  </w:style>
  <w:style w:type="paragraph" w:styleId="Inhaltsverzeichnis9">
    <w:name w:val="TOC 9"/>
    <w:basedOn w:val="Normal"/>
    <w:next w:val="Normal"/>
    <w:autoRedefine/>
    <w:semiHidden/>
    <w:pPr>
      <w:ind w:left="1600" w:hanging="0"/>
    </w:pPr>
    <w:rPr>
      <w:sz w:val="18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b22eb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0547"/>
    <w:pPr>
      <w:spacing w:before="0" w:after="0"/>
      <w:ind w:left="720" w:hanging="0"/>
      <w:contextualSpacing/>
    </w:pPr>
    <w:rPr/>
  </w:style>
  <w:style w:type="paragraph" w:styleId="Tabelleninhalt">
    <w:name w:val="Tabelleninhalt"/>
    <w:basedOn w:val="Textkrper"/>
    <w:qFormat/>
    <w:pPr/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c57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Application>LibreOffice/7.0.4.2$Linux_X86_64 LibreOffice_project/00$Build-2</Application>
  <AppVersion>15.0000</AppVersion>
  <Pages>4</Pages>
  <Words>185</Words>
  <Characters>1341</Characters>
  <CharactersWithSpaces>1464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2023-02-01T11:13:00Z</dcterms:created>
  <dc:creator/>
  <dc:description/>
  <dc:language>de-DE</dc:language>
  <cp:lastModifiedBy/>
  <cp:lastPrinted>2005-06-10T15:15:00Z</cp:lastPrinted>
  <dcterms:modified xsi:type="dcterms:W3CDTF">2024-07-25T14:28:03Z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