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AEF6" w14:textId="77777777" w:rsidR="00865D9F" w:rsidRPr="00D46E3E" w:rsidRDefault="00865D9F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55E2C45F" w14:textId="77777777" w:rsidR="00865D9F" w:rsidRPr="00D46E3E" w:rsidRDefault="00865D9F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77944268" w14:textId="77777777" w:rsidR="00865D9F" w:rsidRPr="00D46E3E" w:rsidRDefault="00865D9F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0DC47E14" w14:textId="77777777" w:rsidR="00865D9F" w:rsidRDefault="00865D9F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46258721" w14:textId="77777777" w:rsidR="002618CA" w:rsidRDefault="002618CA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28BDC9DE" w14:textId="77777777" w:rsidR="00F226E7" w:rsidRPr="00D46E3E" w:rsidRDefault="00F226E7" w:rsidP="00C30D6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13F60B10" w14:textId="77777777" w:rsidR="00865D9F" w:rsidRPr="00D46E3E" w:rsidRDefault="00865D9F" w:rsidP="00A96742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14:paraId="61132E3E" w14:textId="77777777" w:rsidR="006F51EF" w:rsidRPr="006F51EF" w:rsidRDefault="006A724A" w:rsidP="00A9674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Richtlinie</w:t>
      </w:r>
    </w:p>
    <w:p w14:paraId="37E1DAAA" w14:textId="77777777" w:rsidR="006F51EF" w:rsidRDefault="006F51EF" w:rsidP="00A9674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0"/>
          <w:szCs w:val="40"/>
        </w:rPr>
      </w:pPr>
      <w:r w:rsidRPr="006F51EF">
        <w:rPr>
          <w:rFonts w:ascii="Arial" w:hAnsi="Arial" w:cs="Arial"/>
          <w:sz w:val="40"/>
          <w:szCs w:val="40"/>
        </w:rPr>
        <w:t>(</w:t>
      </w:r>
      <w:r w:rsidR="00437C04">
        <w:rPr>
          <w:rFonts w:ascii="Arial" w:hAnsi="Arial" w:cs="Arial"/>
          <w:sz w:val="40"/>
          <w:szCs w:val="40"/>
        </w:rPr>
        <w:t>Notfallmanagement</w:t>
      </w:r>
      <w:r w:rsidRPr="006F51EF">
        <w:rPr>
          <w:rFonts w:ascii="Arial" w:hAnsi="Arial" w:cs="Arial"/>
          <w:sz w:val="40"/>
          <w:szCs w:val="40"/>
        </w:rPr>
        <w:t>)</w:t>
      </w:r>
    </w:p>
    <w:p w14:paraId="6E8E72F0" w14:textId="77777777" w:rsidR="006F51EF" w:rsidRPr="006F51EF" w:rsidRDefault="006F51EF" w:rsidP="00A9674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0"/>
          <w:szCs w:val="40"/>
        </w:rPr>
      </w:pPr>
    </w:p>
    <w:p w14:paraId="69DC5074" w14:textId="69338FFA" w:rsidR="00865D9F" w:rsidRPr="006F51EF" w:rsidRDefault="006A724A" w:rsidP="00A9674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RL</w:t>
      </w:r>
      <w:r w:rsidR="00F21AAA">
        <w:rPr>
          <w:rFonts w:ascii="Arial" w:hAnsi="Arial" w:cs="Arial"/>
          <w:sz w:val="32"/>
          <w:szCs w:val="32"/>
        </w:rPr>
        <w:t>00</w:t>
      </w:r>
      <w:r w:rsidR="00B67F63">
        <w:rPr>
          <w:rFonts w:ascii="Arial" w:hAnsi="Arial" w:cs="Arial"/>
          <w:sz w:val="32"/>
          <w:szCs w:val="32"/>
        </w:rPr>
        <w:t>2</w:t>
      </w:r>
    </w:p>
    <w:p w14:paraId="4407684D" w14:textId="77777777" w:rsidR="00865D9F" w:rsidRPr="00D46E3E" w:rsidRDefault="00865D9F" w:rsidP="00A96742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14:paraId="6B393CF8" w14:textId="77777777" w:rsidR="00865D9F" w:rsidRPr="00D46E3E" w:rsidRDefault="00865D9F" w:rsidP="00C30D62">
      <w:pPr>
        <w:pStyle w:val="CM9"/>
        <w:pageBreakBefore/>
        <w:spacing w:before="240"/>
        <w:ind w:right="3391"/>
        <w:rPr>
          <w:b/>
          <w:bCs/>
          <w:color w:val="000000"/>
          <w:sz w:val="28"/>
          <w:szCs w:val="28"/>
        </w:rPr>
      </w:pPr>
      <w:r w:rsidRPr="00D46E3E">
        <w:rPr>
          <w:b/>
          <w:bCs/>
          <w:color w:val="000000"/>
          <w:sz w:val="28"/>
          <w:szCs w:val="28"/>
        </w:rPr>
        <w:lastRenderedPageBreak/>
        <w:t>Inhaltsverzeichnis</w:t>
      </w:r>
    </w:p>
    <w:p w14:paraId="7D6537B2" w14:textId="22AD23F3" w:rsidR="00B67F63" w:rsidRDefault="002D6868">
      <w:pPr>
        <w:pStyle w:val="Verzeichnis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D46E3E">
        <w:rPr>
          <w:rFonts w:cs="Arial"/>
          <w:b w:val="0"/>
        </w:rPr>
        <w:fldChar w:fldCharType="begin"/>
      </w:r>
      <w:r w:rsidRPr="00D46E3E">
        <w:rPr>
          <w:rFonts w:cs="Arial"/>
          <w:b w:val="0"/>
        </w:rPr>
        <w:instrText xml:space="preserve"> TOC \o "1-3" \h \z \u </w:instrText>
      </w:r>
      <w:r w:rsidRPr="00D46E3E">
        <w:rPr>
          <w:rFonts w:cs="Arial"/>
          <w:b w:val="0"/>
        </w:rPr>
        <w:fldChar w:fldCharType="separate"/>
      </w:r>
      <w:hyperlink w:anchor="_Toc163574931" w:history="1">
        <w:r w:rsidR="00B67F63" w:rsidRPr="00D339E3">
          <w:rPr>
            <w:rStyle w:val="Hyperlink"/>
            <w:noProof/>
          </w:rPr>
          <w:t>0</w:t>
        </w:r>
        <w:r w:rsidR="00B67F63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B67F63" w:rsidRPr="00D339E3">
          <w:rPr>
            <w:rStyle w:val="Hyperlink"/>
            <w:noProof/>
          </w:rPr>
          <w:t>Zweck / Geltungsbereich</w:t>
        </w:r>
        <w:r w:rsidR="00B67F63">
          <w:rPr>
            <w:noProof/>
            <w:webHidden/>
          </w:rPr>
          <w:tab/>
        </w:r>
        <w:r w:rsidR="00B67F63">
          <w:rPr>
            <w:noProof/>
            <w:webHidden/>
          </w:rPr>
          <w:fldChar w:fldCharType="begin"/>
        </w:r>
        <w:r w:rsidR="00B67F63">
          <w:rPr>
            <w:noProof/>
            <w:webHidden/>
          </w:rPr>
          <w:instrText xml:space="preserve"> PAGEREF _Toc163574931 \h </w:instrText>
        </w:r>
        <w:r w:rsidR="00B67F63">
          <w:rPr>
            <w:noProof/>
            <w:webHidden/>
          </w:rPr>
        </w:r>
        <w:r w:rsidR="00B67F63">
          <w:rPr>
            <w:noProof/>
            <w:webHidden/>
          </w:rPr>
          <w:fldChar w:fldCharType="separate"/>
        </w:r>
        <w:r w:rsidR="00B67F63">
          <w:rPr>
            <w:noProof/>
            <w:webHidden/>
          </w:rPr>
          <w:t>3</w:t>
        </w:r>
        <w:r w:rsidR="00B67F63">
          <w:rPr>
            <w:noProof/>
            <w:webHidden/>
          </w:rPr>
          <w:fldChar w:fldCharType="end"/>
        </w:r>
      </w:hyperlink>
    </w:p>
    <w:p w14:paraId="2F16906A" w14:textId="0C57ACA3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2" w:history="1">
        <w:r w:rsidRPr="00D339E3">
          <w:rPr>
            <w:rStyle w:val="Hyperlink"/>
            <w:noProof/>
          </w:rPr>
          <w:t>0.1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Änderungsdienst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AF09F4" w14:textId="3E60B9CC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3" w:history="1">
        <w:r w:rsidRPr="00D339E3">
          <w:rPr>
            <w:rStyle w:val="Hyperlink"/>
            <w:noProof/>
          </w:rPr>
          <w:t>0.2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Hinweise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1D8824" w14:textId="09CD3A4D" w:rsidR="00B67F63" w:rsidRDefault="00B67F63">
      <w:pPr>
        <w:pStyle w:val="Verzeichnis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63574934" w:history="1">
        <w:r w:rsidRPr="00D339E3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Pr="00D339E3">
          <w:rPr>
            <w:rStyle w:val="Hyperlink"/>
            <w:noProof/>
          </w:rPr>
          <w:t>Beschreibung der möglichen Szenarien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FCB741" w14:textId="20809654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5" w:history="1">
        <w:r w:rsidRPr="00D339E3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Unfälle mit Verletzten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0EFAD9" w14:textId="67A4C209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6" w:history="1">
        <w:r w:rsidRPr="00D339E3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Brand und Wasserschaden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BA468E" w14:textId="52D24519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7" w:history="1">
        <w:r w:rsidRPr="00D339E3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Stromausfall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316264" w14:textId="1C9A5614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8" w:history="1">
        <w:r w:rsidRPr="00D339E3">
          <w:rPr>
            <w:rStyle w:val="Hyperlink"/>
            <w:noProof/>
          </w:rPr>
          <w:t>1.4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Ausfall Heizanlage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9887FE" w14:textId="1406318E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39" w:history="1">
        <w:r w:rsidRPr="00D339E3">
          <w:rPr>
            <w:rStyle w:val="Hyperlink"/>
            <w:noProof/>
          </w:rPr>
          <w:t>1.5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Ausfall der EDV-Anlage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A60A2B" w14:textId="26D2BBD4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40" w:history="1">
        <w:r w:rsidRPr="00D339E3">
          <w:rPr>
            <w:rStyle w:val="Hyperlink"/>
            <w:noProof/>
          </w:rPr>
          <w:t>1.6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Ausfall Geschäftsführung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E0E6DF" w14:textId="5FE5D3B5" w:rsidR="00B67F63" w:rsidRDefault="00B67F63">
      <w:pPr>
        <w:pStyle w:val="Verzeichnis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63574941" w:history="1">
        <w:r w:rsidRPr="00D339E3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Pr="00D339E3">
          <w:rPr>
            <w:rStyle w:val="Hyperlink"/>
            <w:noProof/>
          </w:rPr>
          <w:t>Übersicht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05A4EB" w14:textId="720E3124" w:rsidR="00B67F63" w:rsidRDefault="00B67F63">
      <w:pPr>
        <w:pStyle w:val="Verzeichnis2"/>
        <w:tabs>
          <w:tab w:val="left" w:pos="880"/>
          <w:tab w:val="right" w:leader="dot" w:pos="9396"/>
        </w:tabs>
        <w:rPr>
          <w:rFonts w:asciiTheme="minorHAnsi" w:eastAsiaTheme="minorEastAsia" w:hAnsiTheme="minorHAnsi" w:cstheme="minorBidi"/>
          <w:caps w:val="0"/>
          <w:noProof/>
          <w:kern w:val="2"/>
          <w:szCs w:val="22"/>
          <w14:ligatures w14:val="standardContextual"/>
        </w:rPr>
      </w:pPr>
      <w:hyperlink w:anchor="_Toc163574942" w:history="1">
        <w:r w:rsidRPr="00D339E3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caps w:val="0"/>
            <w:noProof/>
            <w:kern w:val="2"/>
            <w:szCs w:val="22"/>
            <w14:ligatures w14:val="standardContextual"/>
          </w:rPr>
          <w:tab/>
        </w:r>
        <w:r w:rsidRPr="00D339E3">
          <w:rPr>
            <w:rStyle w:val="Hyperlink"/>
            <w:noProof/>
          </w:rPr>
          <w:t>Unterbrechung Teile/Materialversorgung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_Toc163574942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002C7A" w14:textId="0194B626" w:rsidR="00865D9F" w:rsidRPr="00D46E3E" w:rsidRDefault="002D6868" w:rsidP="00C30D62">
      <w:pPr>
        <w:pStyle w:val="Default"/>
      </w:pPr>
      <w:r w:rsidRPr="00D46E3E">
        <w:rPr>
          <w:b/>
          <w:color w:val="auto"/>
          <w:sz w:val="22"/>
          <w:szCs w:val="22"/>
        </w:rPr>
        <w:fldChar w:fldCharType="end"/>
      </w:r>
    </w:p>
    <w:p w14:paraId="37B6EA62" w14:textId="77777777" w:rsidR="00437C04" w:rsidRDefault="00437C04" w:rsidP="00C30D62">
      <w:pPr>
        <w:pStyle w:val="berschrift1"/>
        <w:pageBreakBefore/>
        <w:numPr>
          <w:ilvl w:val="0"/>
          <w:numId w:val="3"/>
        </w:numPr>
        <w:spacing w:after="120"/>
        <w:ind w:hanging="720"/>
      </w:pPr>
      <w:bookmarkStart w:id="0" w:name="_Toc110398348"/>
      <w:bookmarkStart w:id="1" w:name="_Toc347508129"/>
      <w:bookmarkStart w:id="2" w:name="_Toc163574931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7F4A95ED" w14:textId="0E0E3F3E" w:rsidR="00437C04" w:rsidRPr="00437C04" w:rsidRDefault="00437C04" w:rsidP="006A724A">
      <w:pPr>
        <w:jc w:val="both"/>
        <w:rPr>
          <w:rFonts w:ascii="Arial" w:hAnsi="Arial" w:cs="Arial"/>
          <w:szCs w:val="22"/>
        </w:rPr>
      </w:pPr>
      <w:r w:rsidRPr="00437C04">
        <w:rPr>
          <w:rFonts w:ascii="Arial" w:hAnsi="Arial" w:cs="Arial"/>
        </w:rPr>
        <w:t xml:space="preserve">Die </w:t>
      </w:r>
      <w:r w:rsidR="006A724A">
        <w:rPr>
          <w:rFonts w:ascii="Arial" w:hAnsi="Arial" w:cs="Arial"/>
        </w:rPr>
        <w:t>Richtlinie</w:t>
      </w:r>
      <w:r w:rsidRPr="00437C04">
        <w:rPr>
          <w:rFonts w:ascii="Arial" w:hAnsi="Arial" w:cs="Arial"/>
        </w:rPr>
        <w:t xml:space="preserve"> beschreibt d</w:t>
      </w:r>
      <w:r w:rsidRPr="00437C04">
        <w:rPr>
          <w:rFonts w:ascii="Arial" w:hAnsi="Arial" w:cs="Arial"/>
          <w:szCs w:val="22"/>
        </w:rPr>
        <w:t xml:space="preserve">as Notfallmanagement der </w:t>
      </w:r>
      <w:r w:rsidR="00B67F63">
        <w:rPr>
          <w:rFonts w:ascii="Arial" w:hAnsi="Arial" w:cs="Arial"/>
          <w:szCs w:val="22"/>
        </w:rPr>
        <w:t>OsTech</w:t>
      </w:r>
      <w:r w:rsidR="005274AC" w:rsidRPr="00912D01">
        <w:rPr>
          <w:rFonts w:ascii="Arial" w:hAnsi="Arial" w:cs="Arial"/>
          <w:bCs/>
          <w:szCs w:val="22"/>
        </w:rPr>
        <w:t xml:space="preserve"> GmbH</w:t>
      </w:r>
      <w:r w:rsidR="005274AC" w:rsidRPr="00437C04">
        <w:rPr>
          <w:rFonts w:ascii="Arial" w:hAnsi="Arial" w:cs="Arial"/>
          <w:szCs w:val="22"/>
        </w:rPr>
        <w:t xml:space="preserve"> </w:t>
      </w:r>
      <w:r w:rsidRPr="00437C04">
        <w:rPr>
          <w:rFonts w:ascii="Arial" w:hAnsi="Arial" w:cs="Arial"/>
          <w:szCs w:val="22"/>
        </w:rPr>
        <w:t xml:space="preserve">und behandelt seltene Ereignisse, die erhebliche Auswirkungen auf Mensch und Umwelt haben könnten, und die ein schnelles Handeln erforderlich machen. </w:t>
      </w:r>
    </w:p>
    <w:p w14:paraId="6B66AD9D" w14:textId="77777777" w:rsidR="00437C04" w:rsidRPr="00437C04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3" w:name="_Toc110398363"/>
      <w:bookmarkStart w:id="4" w:name="_Toc347508130"/>
      <w:bookmarkStart w:id="5" w:name="_Toc163574932"/>
      <w:r w:rsidRPr="00437C04">
        <w:rPr>
          <w:i w:val="0"/>
          <w:sz w:val="24"/>
          <w:szCs w:val="24"/>
        </w:rPr>
        <w:t>0.1</w:t>
      </w:r>
      <w:r w:rsidRPr="00437C04">
        <w:rPr>
          <w:i w:val="0"/>
          <w:sz w:val="24"/>
          <w:szCs w:val="24"/>
        </w:rPr>
        <w:tab/>
        <w:t>Änderungsdienst</w:t>
      </w:r>
      <w:bookmarkEnd w:id="3"/>
      <w:bookmarkEnd w:id="4"/>
      <w:bookmarkEnd w:id="5"/>
    </w:p>
    <w:p w14:paraId="5D1F5E70" w14:textId="77777777" w:rsidR="00437C04" w:rsidRPr="00437C04" w:rsidRDefault="006A724A" w:rsidP="006A72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Richtlinie</w:t>
      </w:r>
      <w:r w:rsidR="00437C04" w:rsidRPr="00437C04">
        <w:rPr>
          <w:rFonts w:ascii="Arial" w:hAnsi="Arial" w:cs="Arial"/>
        </w:rPr>
        <w:t xml:space="preserve"> unterliegt dem Änderungsdienst. Zuständig ist der </w:t>
      </w:r>
      <w:r w:rsidR="00DD7972">
        <w:rPr>
          <w:rFonts w:ascii="Arial" w:hAnsi="Arial" w:cs="Arial"/>
        </w:rPr>
        <w:t>Q</w:t>
      </w:r>
      <w:r w:rsidR="00D9120E">
        <w:rPr>
          <w:rFonts w:ascii="Arial" w:hAnsi="Arial" w:cs="Arial"/>
        </w:rPr>
        <w:t>MB</w:t>
      </w:r>
      <w:r w:rsidR="00437C04" w:rsidRPr="00437C04">
        <w:rPr>
          <w:rFonts w:ascii="Arial" w:hAnsi="Arial" w:cs="Arial"/>
        </w:rPr>
        <w:t>.</w:t>
      </w:r>
    </w:p>
    <w:p w14:paraId="1776D903" w14:textId="77777777" w:rsidR="00437C04" w:rsidRPr="00437C04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6" w:name="_Toc110398364"/>
      <w:bookmarkStart w:id="7" w:name="_Toc347508131"/>
      <w:bookmarkStart w:id="8" w:name="_Toc163574933"/>
      <w:r w:rsidRPr="00437C04">
        <w:rPr>
          <w:i w:val="0"/>
          <w:sz w:val="24"/>
          <w:szCs w:val="24"/>
        </w:rPr>
        <w:t>0.2</w:t>
      </w:r>
      <w:r w:rsidRPr="00437C04">
        <w:rPr>
          <w:i w:val="0"/>
          <w:sz w:val="24"/>
          <w:szCs w:val="24"/>
        </w:rPr>
        <w:tab/>
        <w:t>Hinweise</w:t>
      </w:r>
      <w:bookmarkEnd w:id="6"/>
      <w:bookmarkEnd w:id="7"/>
      <w:bookmarkEnd w:id="8"/>
    </w:p>
    <w:p w14:paraId="45701843" w14:textId="77777777" w:rsidR="00437C04" w:rsidRPr="00437C04" w:rsidRDefault="006A724A" w:rsidP="006A72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Richtlinie</w:t>
      </w:r>
      <w:r w:rsidR="00437C04" w:rsidRPr="00437C04">
        <w:rPr>
          <w:rFonts w:ascii="Arial" w:hAnsi="Arial" w:cs="Arial"/>
        </w:rPr>
        <w:t xml:space="preserve"> besitzt in Papierform grundsätzlich nur Informationscharakter und unterliegt damit nicht dem Änderungsdienst. Die Herausgabe an Personen außerhalb des Unternehmens ist nur mit Genehmigung</w:t>
      </w:r>
      <w:r w:rsidR="00D9120E">
        <w:rPr>
          <w:rFonts w:ascii="Arial" w:hAnsi="Arial" w:cs="Arial"/>
        </w:rPr>
        <w:t xml:space="preserve"> der Geschäftsführung</w:t>
      </w:r>
      <w:r w:rsidR="00437C04" w:rsidRPr="00437C04">
        <w:rPr>
          <w:rFonts w:ascii="Arial" w:hAnsi="Arial" w:cs="Arial"/>
        </w:rPr>
        <w:t xml:space="preserve"> oder des </w:t>
      </w:r>
      <w:r w:rsidR="00DD7972">
        <w:rPr>
          <w:rFonts w:ascii="Arial" w:hAnsi="Arial" w:cs="Arial"/>
        </w:rPr>
        <w:t>Q</w:t>
      </w:r>
      <w:r w:rsidR="00D9120E">
        <w:rPr>
          <w:rFonts w:ascii="Arial" w:hAnsi="Arial" w:cs="Arial"/>
        </w:rPr>
        <w:t>MB</w:t>
      </w:r>
      <w:r w:rsidR="00437C04" w:rsidRPr="00437C04">
        <w:rPr>
          <w:rFonts w:ascii="Arial" w:hAnsi="Arial" w:cs="Arial"/>
        </w:rPr>
        <w:t xml:space="preserve"> zulässig.</w:t>
      </w:r>
    </w:p>
    <w:p w14:paraId="785FA9D0" w14:textId="77777777" w:rsidR="00437C04" w:rsidRPr="00986406" w:rsidRDefault="00437C04" w:rsidP="00C30D62">
      <w:pPr>
        <w:pStyle w:val="Einfach"/>
        <w:tabs>
          <w:tab w:val="left" w:pos="709"/>
        </w:tabs>
        <w:jc w:val="left"/>
        <w:rPr>
          <w:rFonts w:cs="Arial"/>
          <w:sz w:val="24"/>
        </w:rPr>
      </w:pPr>
    </w:p>
    <w:p w14:paraId="09028AD9" w14:textId="77777777" w:rsidR="00437C04" w:rsidRPr="00986406" w:rsidRDefault="00437C04" w:rsidP="00C30D62">
      <w:pPr>
        <w:pStyle w:val="Einfach"/>
        <w:tabs>
          <w:tab w:val="left" w:pos="709"/>
        </w:tabs>
        <w:jc w:val="left"/>
        <w:rPr>
          <w:rFonts w:cs="Arial"/>
          <w:sz w:val="24"/>
        </w:rPr>
      </w:pPr>
    </w:p>
    <w:p w14:paraId="41956B18" w14:textId="77777777" w:rsidR="00437C04" w:rsidRPr="00437C04" w:rsidRDefault="00437C04" w:rsidP="00C30D62">
      <w:pPr>
        <w:pStyle w:val="berschrift1"/>
        <w:keepLines/>
        <w:pageBreakBefore/>
        <w:tabs>
          <w:tab w:val="num" w:pos="709"/>
        </w:tabs>
        <w:spacing w:after="120"/>
        <w:ind w:left="709" w:hanging="709"/>
        <w:rPr>
          <w:szCs w:val="28"/>
        </w:rPr>
      </w:pPr>
      <w:bookmarkStart w:id="9" w:name="_Toc347505792"/>
      <w:bookmarkStart w:id="10" w:name="_Toc347508132"/>
      <w:bookmarkStart w:id="11" w:name="_Toc163574934"/>
      <w:r w:rsidRPr="00437C04">
        <w:rPr>
          <w:szCs w:val="28"/>
        </w:rPr>
        <w:lastRenderedPageBreak/>
        <w:t>1</w:t>
      </w:r>
      <w:r w:rsidRPr="00437C04">
        <w:rPr>
          <w:szCs w:val="28"/>
        </w:rPr>
        <w:tab/>
        <w:t>Beschreibung</w:t>
      </w:r>
      <w:bookmarkEnd w:id="9"/>
      <w:r w:rsidRPr="00437C04">
        <w:rPr>
          <w:szCs w:val="28"/>
        </w:rPr>
        <w:t xml:space="preserve"> der möglichen Szenarien</w:t>
      </w:r>
      <w:bookmarkEnd w:id="10"/>
      <w:bookmarkEnd w:id="11"/>
    </w:p>
    <w:p w14:paraId="1C3A3D68" w14:textId="77777777" w:rsidR="00437C04" w:rsidRPr="00437C04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12" w:name="_Toc347508133"/>
      <w:bookmarkStart w:id="13" w:name="_Toc163574935"/>
      <w:r w:rsidRPr="00437C04">
        <w:rPr>
          <w:i w:val="0"/>
          <w:sz w:val="24"/>
          <w:szCs w:val="24"/>
        </w:rPr>
        <w:t>1.1</w:t>
      </w:r>
      <w:r w:rsidRPr="00437C04">
        <w:rPr>
          <w:i w:val="0"/>
          <w:sz w:val="24"/>
          <w:szCs w:val="24"/>
        </w:rPr>
        <w:tab/>
        <w:t>Unfälle mit Verletzten</w:t>
      </w:r>
      <w:bookmarkEnd w:id="12"/>
      <w:bookmarkEnd w:id="13"/>
    </w:p>
    <w:p w14:paraId="01526F6A" w14:textId="77777777" w:rsidR="00437C04" w:rsidRPr="00437C04" w:rsidRDefault="00437C04" w:rsidP="006A724A">
      <w:pPr>
        <w:jc w:val="both"/>
        <w:rPr>
          <w:rFonts w:ascii="Arial" w:hAnsi="Arial" w:cs="Arial"/>
          <w:szCs w:val="22"/>
        </w:rPr>
      </w:pPr>
      <w:r w:rsidRPr="00437C04">
        <w:rPr>
          <w:rFonts w:ascii="Arial" w:hAnsi="Arial" w:cs="Arial"/>
          <w:szCs w:val="22"/>
        </w:rPr>
        <w:t xml:space="preserve">Bei </w:t>
      </w:r>
      <w:r w:rsidR="00B02286" w:rsidRPr="00437C04">
        <w:rPr>
          <w:rFonts w:ascii="Arial" w:hAnsi="Arial" w:cs="Arial"/>
          <w:szCs w:val="22"/>
        </w:rPr>
        <w:t>Unfällen mit</w:t>
      </w:r>
      <w:r w:rsidRPr="00437C04">
        <w:rPr>
          <w:rFonts w:ascii="Arial" w:hAnsi="Arial" w:cs="Arial"/>
          <w:szCs w:val="22"/>
        </w:rPr>
        <w:t xml:space="preserve"> Verletzten sind Erste Hilfe Maßnahmen durchzuführen und wenn notwendig die Notrufnummer zu wählen und Hilfe anzufordern.</w:t>
      </w:r>
    </w:p>
    <w:p w14:paraId="5288E490" w14:textId="77777777" w:rsidR="00437C04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14" w:name="_Toc347508134"/>
      <w:bookmarkStart w:id="15" w:name="_Toc163574936"/>
      <w:r w:rsidRPr="00437C04">
        <w:rPr>
          <w:i w:val="0"/>
          <w:sz w:val="24"/>
          <w:szCs w:val="24"/>
        </w:rPr>
        <w:t>1.2</w:t>
      </w:r>
      <w:r w:rsidRPr="00437C04">
        <w:rPr>
          <w:i w:val="0"/>
          <w:sz w:val="24"/>
          <w:szCs w:val="24"/>
        </w:rPr>
        <w:tab/>
        <w:t xml:space="preserve">Brand und </w:t>
      </w:r>
      <w:r w:rsidR="00E67C0F">
        <w:rPr>
          <w:i w:val="0"/>
          <w:sz w:val="24"/>
          <w:szCs w:val="24"/>
        </w:rPr>
        <w:t>Wasserschaden</w:t>
      </w:r>
      <w:bookmarkEnd w:id="14"/>
      <w:bookmarkEnd w:id="15"/>
    </w:p>
    <w:p w14:paraId="68B544D9" w14:textId="127545A2" w:rsidR="00E67C0F" w:rsidRPr="00E67C0F" w:rsidRDefault="00E67C0F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 w:rsidRPr="00E67C0F">
        <w:rPr>
          <w:rFonts w:ascii="Arial" w:hAnsi="Arial" w:cs="Arial"/>
          <w:color w:val="000000" w:themeColor="text1"/>
          <w:szCs w:val="22"/>
        </w:rPr>
        <w:t>Je nach Umfang im Lager zusammenrücken und/oder neue Flächen extern anmieten.  Z</w:t>
      </w:r>
      <w:r w:rsidR="00865416">
        <w:rPr>
          <w:rFonts w:ascii="Arial" w:hAnsi="Arial" w:cs="Arial"/>
          <w:color w:val="000000" w:themeColor="text1"/>
          <w:szCs w:val="22"/>
        </w:rPr>
        <w:t xml:space="preserve">.B. stehen im Privathaus </w:t>
      </w:r>
      <w:r w:rsidRPr="00E67C0F">
        <w:rPr>
          <w:rFonts w:ascii="Arial" w:hAnsi="Arial" w:cs="Arial"/>
          <w:color w:val="000000" w:themeColor="text1"/>
          <w:szCs w:val="22"/>
        </w:rPr>
        <w:t>Räume + Netzwerk etc. auch für einen sofortigen Büronotbetrieb zur Verfügung.</w:t>
      </w:r>
    </w:p>
    <w:p w14:paraId="0D1F2AA7" w14:textId="77777777" w:rsidR="00E67C0F" w:rsidRPr="00E67C0F" w:rsidRDefault="00E67C0F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 w:rsidRPr="00E67C0F">
        <w:rPr>
          <w:rFonts w:ascii="Arial" w:hAnsi="Arial" w:cs="Arial"/>
          <w:color w:val="000000" w:themeColor="text1"/>
          <w:szCs w:val="22"/>
        </w:rPr>
        <w:t>Material soweit möglich retten und Fehlmengen sofort bei den Lieferanten abrufen/bestellen.</w:t>
      </w:r>
    </w:p>
    <w:p w14:paraId="7FB3F8C5" w14:textId="77777777" w:rsidR="00437C04" w:rsidRPr="00437C04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16" w:name="_Toc347508135"/>
      <w:bookmarkStart w:id="17" w:name="_Toc163574937"/>
      <w:r w:rsidRPr="00437C04">
        <w:rPr>
          <w:i w:val="0"/>
          <w:sz w:val="24"/>
          <w:szCs w:val="24"/>
        </w:rPr>
        <w:t>1.3</w:t>
      </w:r>
      <w:r w:rsidRPr="00437C04">
        <w:rPr>
          <w:i w:val="0"/>
          <w:sz w:val="24"/>
          <w:szCs w:val="24"/>
        </w:rPr>
        <w:tab/>
        <w:t>Stromausfall</w:t>
      </w:r>
      <w:bookmarkEnd w:id="16"/>
      <w:bookmarkEnd w:id="17"/>
    </w:p>
    <w:p w14:paraId="365B8EEF" w14:textId="77777777" w:rsidR="00E67C0F" w:rsidRPr="00E67C0F" w:rsidRDefault="00E67C0F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bookmarkStart w:id="18" w:name="_Toc347508136"/>
      <w:r w:rsidRPr="00E67C0F">
        <w:rPr>
          <w:rFonts w:ascii="Arial" w:hAnsi="Arial" w:cs="Arial"/>
          <w:color w:val="000000" w:themeColor="text1"/>
          <w:szCs w:val="22"/>
        </w:rPr>
        <w:t>Stromausfall kurzfristig -&gt; per USV werden Daten gesichert und Server + PC-Arbeitsplätze heruntergefahren.</w:t>
      </w:r>
    </w:p>
    <w:p w14:paraId="718739EB" w14:textId="77777777" w:rsidR="00E67C0F" w:rsidRPr="00E67C0F" w:rsidRDefault="00E67C0F" w:rsidP="006A724A">
      <w:pPr>
        <w:jc w:val="both"/>
        <w:rPr>
          <w:rFonts w:ascii="Arial" w:hAnsi="Arial" w:cs="Arial"/>
          <w:color w:val="000000" w:themeColor="text1"/>
          <w:szCs w:val="22"/>
        </w:rPr>
      </w:pPr>
      <w:r w:rsidRPr="00E67C0F">
        <w:rPr>
          <w:rFonts w:ascii="Arial" w:hAnsi="Arial" w:cs="Arial"/>
          <w:color w:val="000000" w:themeColor="text1"/>
          <w:szCs w:val="22"/>
        </w:rPr>
        <w:t xml:space="preserve">Stromausfall länger -&gt; </w:t>
      </w:r>
      <w:r>
        <w:rPr>
          <w:rFonts w:ascii="Arial" w:hAnsi="Arial" w:cs="Arial"/>
          <w:color w:val="000000" w:themeColor="text1"/>
          <w:szCs w:val="22"/>
        </w:rPr>
        <w:t xml:space="preserve">zur </w:t>
      </w:r>
      <w:r w:rsidRPr="00E67C0F">
        <w:rPr>
          <w:rFonts w:ascii="Arial" w:hAnsi="Arial" w:cs="Arial"/>
          <w:color w:val="000000" w:themeColor="text1"/>
          <w:szCs w:val="22"/>
        </w:rPr>
        <w:t xml:space="preserve">Notversorgung </w:t>
      </w:r>
      <w:r>
        <w:rPr>
          <w:rFonts w:ascii="Arial" w:hAnsi="Arial" w:cs="Arial"/>
          <w:color w:val="000000" w:themeColor="text1"/>
          <w:szCs w:val="22"/>
        </w:rPr>
        <w:t xml:space="preserve">wird bei einem Ortsansässigem Dienstleister </w:t>
      </w:r>
      <w:r w:rsidR="00B02286">
        <w:rPr>
          <w:rFonts w:ascii="Arial" w:hAnsi="Arial" w:cs="Arial"/>
          <w:color w:val="000000" w:themeColor="text1"/>
          <w:szCs w:val="22"/>
        </w:rPr>
        <w:t xml:space="preserve">ein </w:t>
      </w:r>
      <w:r w:rsidR="00B02286" w:rsidRPr="00E67C0F">
        <w:rPr>
          <w:rFonts w:ascii="Arial" w:hAnsi="Arial" w:cs="Arial"/>
          <w:color w:val="000000" w:themeColor="text1"/>
          <w:szCs w:val="22"/>
        </w:rPr>
        <w:t>Stromaggregat</w:t>
      </w:r>
      <w:r w:rsidRPr="00E67C0F">
        <w:rPr>
          <w:rFonts w:ascii="Arial" w:hAnsi="Arial" w:cs="Arial"/>
          <w:color w:val="000000" w:themeColor="text1"/>
          <w:szCs w:val="22"/>
        </w:rPr>
        <w:t xml:space="preserve"> </w:t>
      </w:r>
      <w:r>
        <w:rPr>
          <w:rFonts w:ascii="Arial" w:hAnsi="Arial" w:cs="Arial"/>
          <w:color w:val="000000" w:themeColor="text1"/>
          <w:szCs w:val="22"/>
        </w:rPr>
        <w:t>beschafft.</w:t>
      </w:r>
    </w:p>
    <w:p w14:paraId="6BC5D711" w14:textId="77777777" w:rsidR="00E67C0F" w:rsidRDefault="00437C04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19" w:name="_Toc163574938"/>
      <w:r w:rsidRPr="00437C04">
        <w:rPr>
          <w:i w:val="0"/>
          <w:sz w:val="24"/>
          <w:szCs w:val="24"/>
        </w:rPr>
        <w:t>1.4</w:t>
      </w:r>
      <w:r w:rsidRPr="00437C04">
        <w:rPr>
          <w:i w:val="0"/>
          <w:sz w:val="24"/>
          <w:szCs w:val="24"/>
        </w:rPr>
        <w:tab/>
      </w:r>
      <w:r w:rsidR="00E67C0F">
        <w:rPr>
          <w:i w:val="0"/>
          <w:sz w:val="24"/>
          <w:szCs w:val="24"/>
        </w:rPr>
        <w:t>Ausfall Heizanlage</w:t>
      </w:r>
      <w:bookmarkEnd w:id="19"/>
    </w:p>
    <w:p w14:paraId="1FD89A31" w14:textId="77777777" w:rsidR="00E67C0F" w:rsidRPr="00E67C0F" w:rsidRDefault="00E67C0F" w:rsidP="006A724A">
      <w:pPr>
        <w:jc w:val="both"/>
        <w:rPr>
          <w:rFonts w:ascii="Arial" w:hAnsi="Arial" w:cs="Arial"/>
          <w:color w:val="000000" w:themeColor="text1"/>
          <w:szCs w:val="22"/>
        </w:rPr>
      </w:pPr>
      <w:r w:rsidRPr="00E67C0F">
        <w:rPr>
          <w:rFonts w:ascii="Arial" w:hAnsi="Arial" w:cs="Arial"/>
          <w:color w:val="000000" w:themeColor="text1"/>
          <w:szCs w:val="22"/>
        </w:rPr>
        <w:t>Heizungsausfall -&gt; Notversorgung mit Elektoheizern/</w:t>
      </w:r>
      <w:r w:rsidR="00C30D62">
        <w:rPr>
          <w:rFonts w:ascii="Arial" w:hAnsi="Arial" w:cs="Arial"/>
          <w:color w:val="000000" w:themeColor="text1"/>
          <w:szCs w:val="22"/>
        </w:rPr>
        <w:t xml:space="preserve"> </w:t>
      </w:r>
      <w:r w:rsidRPr="00E67C0F">
        <w:rPr>
          <w:rFonts w:ascii="Arial" w:hAnsi="Arial" w:cs="Arial"/>
          <w:color w:val="000000" w:themeColor="text1"/>
          <w:szCs w:val="22"/>
        </w:rPr>
        <w:t xml:space="preserve">Infrarotheizern </w:t>
      </w:r>
      <w:r>
        <w:rPr>
          <w:rFonts w:ascii="Arial" w:hAnsi="Arial" w:cs="Arial"/>
          <w:color w:val="000000" w:themeColor="text1"/>
          <w:szCs w:val="22"/>
        </w:rPr>
        <w:t xml:space="preserve">wird bei einem Ortsansässigen Dienstleister </w:t>
      </w:r>
      <w:r w:rsidRPr="00E67C0F">
        <w:rPr>
          <w:rFonts w:ascii="Arial" w:hAnsi="Arial" w:cs="Arial"/>
          <w:color w:val="000000" w:themeColor="text1"/>
          <w:szCs w:val="22"/>
        </w:rPr>
        <w:t>organisier</w:t>
      </w:r>
      <w:r>
        <w:rPr>
          <w:rFonts w:ascii="Arial" w:hAnsi="Arial" w:cs="Arial"/>
          <w:color w:val="000000" w:themeColor="text1"/>
          <w:szCs w:val="22"/>
        </w:rPr>
        <w:t>t.</w:t>
      </w:r>
    </w:p>
    <w:p w14:paraId="53A01CBF" w14:textId="77777777" w:rsidR="00437C04" w:rsidRPr="00437C04" w:rsidRDefault="00E67C0F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20" w:name="_Toc163574939"/>
      <w:r>
        <w:rPr>
          <w:i w:val="0"/>
          <w:sz w:val="24"/>
          <w:szCs w:val="24"/>
        </w:rPr>
        <w:t>1.5</w:t>
      </w:r>
      <w:r>
        <w:rPr>
          <w:i w:val="0"/>
          <w:sz w:val="24"/>
          <w:szCs w:val="24"/>
        </w:rPr>
        <w:tab/>
      </w:r>
      <w:r w:rsidR="00437C04" w:rsidRPr="00437C04">
        <w:rPr>
          <w:i w:val="0"/>
          <w:sz w:val="24"/>
          <w:szCs w:val="24"/>
        </w:rPr>
        <w:t>Ausfall der EDV-Anlage</w:t>
      </w:r>
      <w:bookmarkEnd w:id="18"/>
      <w:bookmarkEnd w:id="20"/>
    </w:p>
    <w:p w14:paraId="407BA826" w14:textId="77777777" w:rsidR="00E67C0F" w:rsidRDefault="00E67C0F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 w:rsidRPr="00E67C0F">
        <w:rPr>
          <w:rFonts w:ascii="Arial" w:hAnsi="Arial" w:cs="Arial"/>
          <w:color w:val="000000" w:themeColor="text1"/>
          <w:szCs w:val="22"/>
        </w:rPr>
        <w:t xml:space="preserve">Ausfall Warenwirtschaft – Hotline </w:t>
      </w:r>
      <w:r w:rsidR="00865416">
        <w:rPr>
          <w:rFonts w:ascii="Arial" w:hAnsi="Arial" w:cs="Arial"/>
          <w:color w:val="000000" w:themeColor="text1"/>
          <w:szCs w:val="22"/>
        </w:rPr>
        <w:t>IT-Dienstleister</w:t>
      </w:r>
      <w:r>
        <w:rPr>
          <w:rFonts w:ascii="Arial" w:hAnsi="Arial" w:cs="Arial"/>
          <w:color w:val="000000" w:themeColor="text1"/>
          <w:szCs w:val="22"/>
        </w:rPr>
        <w:t>.</w:t>
      </w:r>
    </w:p>
    <w:p w14:paraId="62EE8EB2" w14:textId="77777777" w:rsidR="00E67C0F" w:rsidRPr="00E67C0F" w:rsidRDefault="00E67C0F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</w:rPr>
        <w:t xml:space="preserve">Ausfall kompletter EDV: </w:t>
      </w:r>
      <w:r w:rsidR="00865416">
        <w:rPr>
          <w:rFonts w:ascii="Arial" w:hAnsi="Arial" w:cs="Arial"/>
          <w:color w:val="000000" w:themeColor="text1"/>
          <w:szCs w:val="22"/>
        </w:rPr>
        <w:t xml:space="preserve">im Privathaus </w:t>
      </w:r>
      <w:r>
        <w:rPr>
          <w:rFonts w:ascii="Arial" w:hAnsi="Arial" w:cs="Arial"/>
          <w:color w:val="000000" w:themeColor="text1"/>
          <w:szCs w:val="22"/>
        </w:rPr>
        <w:t xml:space="preserve">stehen </w:t>
      </w:r>
      <w:r w:rsidRPr="00E67C0F">
        <w:rPr>
          <w:rFonts w:ascii="Arial" w:hAnsi="Arial" w:cs="Arial"/>
          <w:color w:val="000000" w:themeColor="text1"/>
          <w:szCs w:val="22"/>
        </w:rPr>
        <w:t>Räume + Netzwerk etc. auch für einen sofortigen Büronotbetrieb zur Verfügung.</w:t>
      </w:r>
    </w:p>
    <w:p w14:paraId="74E53B25" w14:textId="77777777" w:rsidR="00E67C0F" w:rsidRDefault="00E67C0F" w:rsidP="00C30D62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21" w:name="_Toc163574940"/>
      <w:r>
        <w:rPr>
          <w:i w:val="0"/>
          <w:sz w:val="24"/>
          <w:szCs w:val="24"/>
        </w:rPr>
        <w:t>1.6</w:t>
      </w:r>
      <w:r>
        <w:rPr>
          <w:i w:val="0"/>
          <w:sz w:val="24"/>
          <w:szCs w:val="24"/>
        </w:rPr>
        <w:tab/>
      </w:r>
      <w:r w:rsidRPr="00437C04">
        <w:rPr>
          <w:i w:val="0"/>
          <w:sz w:val="24"/>
          <w:szCs w:val="24"/>
        </w:rPr>
        <w:t xml:space="preserve">Ausfall </w:t>
      </w:r>
      <w:r>
        <w:rPr>
          <w:i w:val="0"/>
          <w:sz w:val="24"/>
          <w:szCs w:val="24"/>
        </w:rPr>
        <w:t>Geschäftsführ</w:t>
      </w:r>
      <w:r w:rsidR="00865416">
        <w:rPr>
          <w:i w:val="0"/>
          <w:sz w:val="24"/>
          <w:szCs w:val="24"/>
        </w:rPr>
        <w:t>ung</w:t>
      </w:r>
      <w:bookmarkEnd w:id="21"/>
    </w:p>
    <w:p w14:paraId="191AFDA5" w14:textId="32E94DE2" w:rsidR="00E67C0F" w:rsidRDefault="00B67F63" w:rsidP="006A724A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 w:rsidRPr="00B67F63">
        <w:rPr>
          <w:rFonts w:ascii="Arial" w:hAnsi="Arial" w:cs="Arial"/>
          <w:color w:val="000000" w:themeColor="text1"/>
          <w:szCs w:val="22"/>
          <w:highlight w:val="yellow"/>
        </w:rPr>
        <w:t>Vertretungsberichtigter?</w:t>
      </w:r>
    </w:p>
    <w:p w14:paraId="4E8286F9" w14:textId="77777777" w:rsidR="000C6B03" w:rsidRDefault="000C6B03" w:rsidP="006A724A">
      <w:pPr>
        <w:spacing w:after="120"/>
        <w:jc w:val="both"/>
        <w:rPr>
          <w:rFonts w:ascii="Verdana" w:hAnsi="Verdana"/>
          <w:i/>
          <w:color w:val="002060"/>
          <w:sz w:val="24"/>
        </w:rPr>
      </w:pPr>
    </w:p>
    <w:p w14:paraId="3B815884" w14:textId="77777777" w:rsidR="00E67C0F" w:rsidRPr="00E67C0F" w:rsidRDefault="00E67C0F" w:rsidP="00C30D62"/>
    <w:p w14:paraId="6C2D94EB" w14:textId="77777777" w:rsidR="00E67C0F" w:rsidRDefault="00E67C0F" w:rsidP="00C30D62">
      <w:pPr>
        <w:rPr>
          <w:rFonts w:ascii="Arial" w:hAnsi="Arial" w:cs="Arial"/>
          <w:szCs w:val="22"/>
        </w:rPr>
      </w:pPr>
    </w:p>
    <w:p w14:paraId="2BB6FAD3" w14:textId="77777777" w:rsidR="00E67C0F" w:rsidRPr="00437C04" w:rsidRDefault="00E67C0F" w:rsidP="00C30D62">
      <w:pPr>
        <w:rPr>
          <w:rFonts w:ascii="Arial" w:hAnsi="Arial" w:cs="Arial"/>
          <w:szCs w:val="22"/>
        </w:rPr>
      </w:pPr>
    </w:p>
    <w:p w14:paraId="25C14972" w14:textId="7706A667" w:rsidR="00437C04" w:rsidRPr="00437C04" w:rsidRDefault="00B67F63" w:rsidP="00C30D62">
      <w:pPr>
        <w:pStyle w:val="berschrift1"/>
        <w:keepLines/>
        <w:pageBreakBefore/>
        <w:tabs>
          <w:tab w:val="num" w:pos="993"/>
        </w:tabs>
        <w:spacing w:before="360" w:after="120"/>
        <w:ind w:left="992" w:hanging="992"/>
      </w:pPr>
      <w:bookmarkStart w:id="22" w:name="_Toc347505793"/>
      <w:bookmarkStart w:id="23" w:name="_Toc347508137"/>
      <w:bookmarkStart w:id="24" w:name="_Toc163574941"/>
      <w:r>
        <w:lastRenderedPageBreak/>
        <w:t>2</w:t>
      </w:r>
      <w:r>
        <w:tab/>
      </w:r>
      <w:r w:rsidR="00437C04" w:rsidRPr="00437C04">
        <w:t>Übersicht</w:t>
      </w:r>
      <w:bookmarkEnd w:id="22"/>
      <w:bookmarkEnd w:id="23"/>
      <w:bookmarkEnd w:id="24"/>
    </w:p>
    <w:tbl>
      <w:tblPr>
        <w:tblW w:w="95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6"/>
        <w:gridCol w:w="3544"/>
        <w:gridCol w:w="2551"/>
      </w:tblGrid>
      <w:tr w:rsidR="00780EE1" w:rsidRPr="00437C04" w14:paraId="3A0F2167" w14:textId="77777777" w:rsidTr="00780EE1">
        <w:trPr>
          <w:tblHeader/>
        </w:trPr>
        <w:tc>
          <w:tcPr>
            <w:tcW w:w="3426" w:type="dxa"/>
            <w:tcBorders>
              <w:top w:val="single" w:sz="8" w:space="0" w:color="C0C0C0"/>
              <w:left w:val="single" w:sz="8" w:space="0" w:color="C0C0C0"/>
              <w:bottom w:val="single" w:sz="8" w:space="0" w:color="FFFFFF"/>
            </w:tcBorders>
            <w:shd w:val="clear" w:color="auto" w:fill="E6E6E6"/>
          </w:tcPr>
          <w:p w14:paraId="032B5743" w14:textId="77777777" w:rsidR="00780EE1" w:rsidRPr="00437C04" w:rsidRDefault="00780EE1" w:rsidP="00C30D62">
            <w:pPr>
              <w:snapToGrid w:val="0"/>
              <w:rPr>
                <w:rFonts w:ascii="Arial" w:hAnsi="Arial" w:cs="Arial"/>
                <w:b/>
                <w:sz w:val="1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28"/>
              </w:rPr>
              <w:t>Firma</w:t>
            </w:r>
          </w:p>
        </w:tc>
        <w:tc>
          <w:tcPr>
            <w:tcW w:w="3544" w:type="dxa"/>
            <w:tcBorders>
              <w:top w:val="single" w:sz="8" w:space="0" w:color="C0C0C0"/>
              <w:left w:val="single" w:sz="8" w:space="0" w:color="FFFFFF"/>
              <w:bottom w:val="single" w:sz="8" w:space="0" w:color="FFFFFF"/>
            </w:tcBorders>
            <w:shd w:val="clear" w:color="auto" w:fill="E6E6E6"/>
          </w:tcPr>
          <w:p w14:paraId="30BF4556" w14:textId="77777777" w:rsidR="00780EE1" w:rsidRPr="00437C04" w:rsidRDefault="00780EE1" w:rsidP="00C30D62">
            <w:pPr>
              <w:snapToGrid w:val="0"/>
              <w:rPr>
                <w:rFonts w:ascii="Arial" w:hAnsi="Arial" w:cs="Arial"/>
                <w:b/>
                <w:sz w:val="1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28"/>
              </w:rPr>
              <w:t>Ansprechpartner</w:t>
            </w:r>
          </w:p>
        </w:tc>
        <w:tc>
          <w:tcPr>
            <w:tcW w:w="2551" w:type="dxa"/>
            <w:tcBorders>
              <w:top w:val="single" w:sz="8" w:space="0" w:color="C0C0C0"/>
              <w:left w:val="single" w:sz="8" w:space="0" w:color="FFFFFF"/>
              <w:bottom w:val="single" w:sz="8" w:space="0" w:color="FFFFFF"/>
            </w:tcBorders>
            <w:shd w:val="clear" w:color="auto" w:fill="E6E6E6"/>
          </w:tcPr>
          <w:p w14:paraId="34D3BD3A" w14:textId="77777777" w:rsidR="00780EE1" w:rsidRPr="00437C04" w:rsidRDefault="00780EE1" w:rsidP="00C30D62">
            <w:pPr>
              <w:snapToGrid w:val="0"/>
              <w:rPr>
                <w:rFonts w:ascii="Arial" w:hAnsi="Arial" w:cs="Arial"/>
                <w:b/>
                <w:sz w:val="1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28"/>
              </w:rPr>
              <w:t>Telefon</w:t>
            </w:r>
          </w:p>
        </w:tc>
      </w:tr>
      <w:tr w:rsidR="00780EE1" w:rsidRPr="00437C04" w14:paraId="09166286" w14:textId="77777777" w:rsidTr="00CE4340">
        <w:trPr>
          <w:trHeight w:val="574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71814342" w14:textId="7747C4DA" w:rsidR="00780EE1" w:rsidRPr="00780EE1" w:rsidRDefault="00B67F63" w:rsidP="00C30D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EDV Hardware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06FE28D3" w14:textId="21A377E9" w:rsidR="00780EE1" w:rsidRPr="00780EE1" w:rsidRDefault="00780EE1" w:rsidP="00C30D62">
            <w:pPr>
              <w:pStyle w:val="Fuzeile1"/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5F70E537" w14:textId="1757E2C6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EE1" w:rsidRPr="00437C04" w14:paraId="1792CFB6" w14:textId="77777777" w:rsidTr="00CE4340">
        <w:trPr>
          <w:trHeight w:val="553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3ACE659A" w14:textId="41E76685" w:rsidR="00780EE1" w:rsidRPr="00780EE1" w:rsidRDefault="00B67F63" w:rsidP="00C30D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EDV Software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1B1CA442" w14:textId="77777777" w:rsidR="00780EE1" w:rsidRPr="00780EE1" w:rsidRDefault="00780EE1" w:rsidP="00C30D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34D62D40" w14:textId="6554DE3F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EE1" w:rsidRPr="00437C04" w14:paraId="45B1CF5A" w14:textId="77777777" w:rsidTr="00CE4340">
        <w:trPr>
          <w:trHeight w:hRule="exact" w:val="705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1579D6D2" w14:textId="72F0BD4A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Strom 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7E32E33E" w14:textId="77777777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0144C121" w14:textId="189AB898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EE1" w:rsidRPr="00437C04" w14:paraId="312075F1" w14:textId="77777777" w:rsidTr="00CE4340">
        <w:trPr>
          <w:trHeight w:val="669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6EEF441A" w14:textId="7B24836E" w:rsidR="00780EE1" w:rsidRPr="00780EE1" w:rsidRDefault="00B67F63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Internet, Telefon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6C1487E3" w14:textId="36F7B67B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6AAE05C6" w14:textId="42D315CA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80EE1" w:rsidRPr="00437C04" w14:paraId="37226208" w14:textId="77777777" w:rsidTr="00CE4340">
        <w:trPr>
          <w:trHeight w:val="551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45595F70" w14:textId="71C1D224" w:rsidR="00780EE1" w:rsidRPr="00780EE1" w:rsidRDefault="008307F7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Kopierer</w:t>
            </w:r>
            <w:r w:rsidR="00B67F63">
              <w:rPr>
                <w:rFonts w:ascii="Arial" w:hAnsi="Arial" w:cs="Arial"/>
                <w:sz w:val="20"/>
                <w:szCs w:val="20"/>
              </w:rPr>
              <w:t>, Drucker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10AF3112" w14:textId="43A2E767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2BFA29CD" w14:textId="33A7B3A1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EE1" w:rsidRPr="00437C04" w14:paraId="3909FA37" w14:textId="77777777" w:rsidTr="00CE4340">
        <w:trPr>
          <w:trHeight w:val="688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3D17AE77" w14:textId="72891D55" w:rsidR="00780EE1" w:rsidRPr="00780EE1" w:rsidRDefault="008307F7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Elektrik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508CD1BD" w14:textId="118B19BD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45571694" w14:textId="11374CD4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EE1" w:rsidRPr="00437C04" w14:paraId="53245F27" w14:textId="77777777" w:rsidTr="00CE4340">
        <w:trPr>
          <w:trHeight w:val="683"/>
        </w:trPr>
        <w:tc>
          <w:tcPr>
            <w:tcW w:w="3426" w:type="dxa"/>
            <w:tcBorders>
              <w:left w:val="single" w:sz="8" w:space="0" w:color="C0C0C0"/>
              <w:bottom w:val="single" w:sz="8" w:space="0" w:color="FFFFFF"/>
            </w:tcBorders>
            <w:shd w:val="clear" w:color="auto" w:fill="F3F3F3"/>
            <w:vAlign w:val="center"/>
          </w:tcPr>
          <w:p w14:paraId="4ED0F0A3" w14:textId="1E8E366E" w:rsidR="00780EE1" w:rsidRPr="00780EE1" w:rsidRDefault="00B67F63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Haustechnik</w:t>
            </w:r>
          </w:p>
        </w:tc>
        <w:tc>
          <w:tcPr>
            <w:tcW w:w="3544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40AC8331" w14:textId="116BA0FB" w:rsidR="00780EE1" w:rsidRPr="00780EE1" w:rsidRDefault="00780EE1" w:rsidP="00780E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3F3F3"/>
            <w:vAlign w:val="center"/>
          </w:tcPr>
          <w:p w14:paraId="3531D0CF" w14:textId="3B5D9D63" w:rsidR="00780EE1" w:rsidRPr="00780EE1" w:rsidRDefault="00780EE1" w:rsidP="006D5BB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5633FB9" w14:textId="77777777" w:rsidR="00437C04" w:rsidRPr="00437C04" w:rsidRDefault="00437C04" w:rsidP="00C30D62">
      <w:pPr>
        <w:rPr>
          <w:rFonts w:ascii="Arial" w:hAnsi="Arial" w:cs="Arial"/>
        </w:rPr>
      </w:pPr>
    </w:p>
    <w:p w14:paraId="68D3FC95" w14:textId="44347A47" w:rsidR="000918B0" w:rsidRDefault="00B67F63" w:rsidP="00B67F63">
      <w:pPr>
        <w:pStyle w:val="berschrift2"/>
        <w:spacing w:after="120"/>
        <w:ind w:left="709" w:hanging="709"/>
        <w:rPr>
          <w:i w:val="0"/>
          <w:sz w:val="24"/>
          <w:szCs w:val="24"/>
        </w:rPr>
      </w:pPr>
      <w:bookmarkStart w:id="25" w:name="_Toc163574942"/>
      <w:r>
        <w:rPr>
          <w:i w:val="0"/>
          <w:sz w:val="24"/>
          <w:szCs w:val="24"/>
        </w:rPr>
        <w:t>2.1</w:t>
      </w:r>
      <w:r w:rsidR="000918B0">
        <w:rPr>
          <w:i w:val="0"/>
          <w:sz w:val="24"/>
          <w:szCs w:val="24"/>
        </w:rPr>
        <w:tab/>
        <w:t>Unterbrechung Teile/Materialversorgung</w:t>
      </w:r>
      <w:bookmarkEnd w:id="25"/>
    </w:p>
    <w:p w14:paraId="278DDB17" w14:textId="77777777" w:rsidR="000918B0" w:rsidRDefault="000918B0" w:rsidP="000918B0">
      <w:pPr>
        <w:spacing w:after="120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</w:rPr>
        <w:t>Mögliche Szenarien:</w:t>
      </w:r>
    </w:p>
    <w:p w14:paraId="6E661710" w14:textId="77777777" w:rsidR="000918B0" w:rsidRPr="000918B0" w:rsidRDefault="000918B0" w:rsidP="000918B0">
      <w:pPr>
        <w:pStyle w:val="Listenabsatz"/>
        <w:numPr>
          <w:ilvl w:val="0"/>
          <w:numId w:val="4"/>
        </w:numPr>
        <w:spacing w:after="120"/>
        <w:ind w:hanging="357"/>
        <w:contextualSpacing w:val="0"/>
        <w:jc w:val="both"/>
        <w:rPr>
          <w:rFonts w:ascii="Arial" w:hAnsi="Arial" w:cs="Arial"/>
          <w:iCs/>
          <w:szCs w:val="22"/>
          <w:u w:val="single"/>
        </w:rPr>
      </w:pPr>
      <w:r w:rsidRPr="000918B0">
        <w:rPr>
          <w:rFonts w:ascii="Arial" w:hAnsi="Arial" w:cs="Arial"/>
          <w:iCs/>
          <w:szCs w:val="22"/>
          <w:u w:val="single"/>
        </w:rPr>
        <w:t>Lieferengpässe Material</w:t>
      </w:r>
    </w:p>
    <w:p w14:paraId="5D8FC343" w14:textId="77777777" w:rsidR="000918B0" w:rsidRDefault="000918B0" w:rsidP="000918B0">
      <w:pPr>
        <w:pStyle w:val="Listenabsatz"/>
        <w:numPr>
          <w:ilvl w:val="0"/>
          <w:numId w:val="5"/>
        </w:numPr>
        <w:spacing w:after="120"/>
        <w:ind w:hanging="357"/>
        <w:contextualSpacing w:val="0"/>
        <w:jc w:val="both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Es existieren immer mind. 2 Lieferanten</w:t>
      </w:r>
    </w:p>
    <w:p w14:paraId="6F42C451" w14:textId="77777777" w:rsidR="000918B0" w:rsidRPr="00135B86" w:rsidRDefault="000918B0" w:rsidP="000918B0">
      <w:pPr>
        <w:pStyle w:val="Listenabsatz"/>
        <w:numPr>
          <w:ilvl w:val="0"/>
          <w:numId w:val="5"/>
        </w:numPr>
        <w:spacing w:after="120"/>
        <w:ind w:hanging="357"/>
        <w:contextualSpacing w:val="0"/>
        <w:jc w:val="both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Bei allgemeinen Lieferengpässen erfolgt wo notwendig und wo machbar eine höhere Bevorratung </w:t>
      </w:r>
    </w:p>
    <w:p w14:paraId="44882424" w14:textId="77777777" w:rsidR="000918B0" w:rsidRPr="000918B0" w:rsidRDefault="000918B0" w:rsidP="000918B0">
      <w:pPr>
        <w:pStyle w:val="Listenabsatz"/>
        <w:numPr>
          <w:ilvl w:val="0"/>
          <w:numId w:val="4"/>
        </w:numPr>
        <w:spacing w:after="120"/>
        <w:ind w:hanging="357"/>
        <w:contextualSpacing w:val="0"/>
        <w:jc w:val="both"/>
        <w:rPr>
          <w:rFonts w:ascii="Arial" w:hAnsi="Arial" w:cs="Arial"/>
          <w:iCs/>
          <w:szCs w:val="22"/>
          <w:u w:val="single"/>
        </w:rPr>
      </w:pPr>
      <w:r w:rsidRPr="000918B0">
        <w:rPr>
          <w:rFonts w:ascii="Arial" w:hAnsi="Arial" w:cs="Arial"/>
          <w:iCs/>
          <w:szCs w:val="22"/>
          <w:u w:val="single"/>
        </w:rPr>
        <w:t>Kapazitätsengpass</w:t>
      </w:r>
    </w:p>
    <w:p w14:paraId="35DF5311" w14:textId="1D59D65F" w:rsidR="000918B0" w:rsidRPr="00135B86" w:rsidRDefault="000918B0" w:rsidP="000918B0">
      <w:pPr>
        <w:pStyle w:val="Listenabsatz"/>
        <w:numPr>
          <w:ilvl w:val="0"/>
          <w:numId w:val="5"/>
        </w:numPr>
        <w:spacing w:after="120"/>
        <w:ind w:hanging="357"/>
        <w:contextualSpacing w:val="0"/>
        <w:jc w:val="both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Durch Mehrarbeit </w:t>
      </w:r>
      <w:r w:rsidR="00232F54">
        <w:rPr>
          <w:rFonts w:ascii="Arial" w:hAnsi="Arial" w:cs="Arial"/>
          <w:iCs/>
          <w:szCs w:val="22"/>
        </w:rPr>
        <w:t xml:space="preserve">und den Einsatz von </w:t>
      </w:r>
      <w:r w:rsidR="00B67F63">
        <w:rPr>
          <w:rFonts w:ascii="Arial" w:hAnsi="Arial" w:cs="Arial"/>
          <w:iCs/>
          <w:szCs w:val="22"/>
        </w:rPr>
        <w:t xml:space="preserve">Hilfskräften </w:t>
      </w:r>
      <w:r w:rsidR="00232F54">
        <w:rPr>
          <w:rFonts w:ascii="Arial" w:hAnsi="Arial" w:cs="Arial"/>
          <w:iCs/>
          <w:szCs w:val="22"/>
        </w:rPr>
        <w:t xml:space="preserve"> </w:t>
      </w:r>
      <w:r>
        <w:rPr>
          <w:rFonts w:ascii="Arial" w:hAnsi="Arial" w:cs="Arial"/>
          <w:iCs/>
          <w:szCs w:val="22"/>
        </w:rPr>
        <w:t>können Engpässe abgefedert werden</w:t>
      </w:r>
    </w:p>
    <w:p w14:paraId="3B906CE8" w14:textId="77777777" w:rsidR="00433C69" w:rsidRPr="00D46E3E" w:rsidRDefault="00433C69" w:rsidP="00C30D62">
      <w:pPr>
        <w:pStyle w:val="Default"/>
        <w:rPr>
          <w:color w:val="auto"/>
        </w:rPr>
      </w:pPr>
    </w:p>
    <w:sectPr w:rsidR="00433C69" w:rsidRPr="00D46E3E" w:rsidSect="005D6429">
      <w:headerReference w:type="default" r:id="rId7"/>
      <w:footerReference w:type="default" r:id="rId8"/>
      <w:footerReference w:type="first" r:id="rId9"/>
      <w:type w:val="continuous"/>
      <w:pgSz w:w="12240" w:h="15840"/>
      <w:pgMar w:top="1417" w:right="1417" w:bottom="1134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0F27E" w14:textId="77777777" w:rsidR="005D6429" w:rsidRDefault="005D6429">
      <w:r>
        <w:separator/>
      </w:r>
    </w:p>
  </w:endnote>
  <w:endnote w:type="continuationSeparator" w:id="0">
    <w:p w14:paraId="196BBDA4" w14:textId="77777777" w:rsidR="005D6429" w:rsidRDefault="005D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mart Courier Condensed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48"/>
      <w:gridCol w:w="804"/>
      <w:gridCol w:w="992"/>
      <w:gridCol w:w="3242"/>
      <w:gridCol w:w="2102"/>
    </w:tblGrid>
    <w:tr w:rsidR="006A724A" w:rsidRPr="000918B0" w14:paraId="6A071C48" w14:textId="77777777" w:rsidTr="00CE4340">
      <w:trPr>
        <w:trHeight w:val="70"/>
      </w:trPr>
      <w:tc>
        <w:tcPr>
          <w:tcW w:w="2148" w:type="dxa"/>
        </w:tcPr>
        <w:p w14:paraId="08BD3FEE" w14:textId="77777777" w:rsidR="006A724A" w:rsidRPr="000918B0" w:rsidRDefault="006A724A" w:rsidP="006A724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918B0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5F4A4E0C" w14:textId="04B922F8" w:rsidR="006A724A" w:rsidRPr="000918B0" w:rsidRDefault="006A724A" w:rsidP="006A724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918B0">
            <w:rPr>
              <w:rFonts w:ascii="Arial" w:hAnsi="Arial" w:cs="Arial"/>
              <w:sz w:val="16"/>
              <w:szCs w:val="16"/>
            </w:rPr>
            <w:t>1.</w:t>
          </w:r>
          <w:r w:rsidR="00B67F63"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40A1123A" w14:textId="77777777" w:rsidR="006A724A" w:rsidRPr="000918B0" w:rsidRDefault="006A724A" w:rsidP="006A724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918B0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42" w:type="dxa"/>
        </w:tcPr>
        <w:p w14:paraId="7E451C2D" w14:textId="46544155" w:rsidR="006A724A" w:rsidRPr="000918B0" w:rsidRDefault="000918B0" w:rsidP="006A724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918B0">
            <w:rPr>
              <w:rFonts w:ascii="Arial" w:hAnsi="Arial" w:cs="Arial"/>
              <w:sz w:val="16"/>
              <w:szCs w:val="16"/>
            </w:rPr>
            <w:t>0</w:t>
          </w:r>
          <w:r w:rsidR="00B67F63">
            <w:rPr>
              <w:rFonts w:ascii="Arial" w:hAnsi="Arial" w:cs="Arial"/>
              <w:sz w:val="16"/>
              <w:szCs w:val="16"/>
            </w:rPr>
            <w:t>1.04.2024</w:t>
          </w:r>
        </w:p>
      </w:tc>
      <w:tc>
        <w:tcPr>
          <w:tcW w:w="2102" w:type="dxa"/>
        </w:tcPr>
        <w:p w14:paraId="3C56D3C6" w14:textId="77777777" w:rsidR="006A724A" w:rsidRPr="000918B0" w:rsidRDefault="006A724A" w:rsidP="006A724A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0918B0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CE4340" w:rsidRPr="000918B0">
            <w:rPr>
              <w:rStyle w:val="Seitenzahl"/>
              <w:rFonts w:ascii="Arial" w:hAnsi="Arial" w:cs="Arial"/>
              <w:noProof/>
              <w:sz w:val="16"/>
              <w:szCs w:val="16"/>
            </w:rPr>
            <w:t>5</w: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CE4340" w:rsidRPr="000918B0">
            <w:rPr>
              <w:rStyle w:val="Seitenzahl"/>
              <w:rFonts w:ascii="Arial" w:hAnsi="Arial" w:cs="Arial"/>
              <w:noProof/>
              <w:sz w:val="16"/>
              <w:szCs w:val="16"/>
            </w:rPr>
            <w:t>5</w:t>
          </w:r>
          <w:r w:rsidRPr="000918B0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2DD4EFB1" w14:textId="77777777" w:rsidR="001D65CA" w:rsidRPr="00FE31DD" w:rsidRDefault="001D65CA" w:rsidP="00FE31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593F8" w14:textId="77777777" w:rsidR="00F21AAA" w:rsidRPr="006A724A" w:rsidRDefault="00F21AAA" w:rsidP="00F21AAA">
    <w:pPr>
      <w:pStyle w:val="Fuzeile"/>
      <w:jc w:val="right"/>
      <w:rPr>
        <w:sz w:val="16"/>
        <w:szCs w:val="16"/>
      </w:rPr>
    </w:pPr>
    <w:r w:rsidRPr="006A724A">
      <w:rPr>
        <w:rFonts w:ascii="Arial" w:hAnsi="Arial" w:cs="Arial"/>
        <w:sz w:val="16"/>
        <w:szCs w:val="16"/>
      </w:rPr>
      <w:t xml:space="preserve">Seite </w:t>
    </w:r>
    <w:r w:rsidRPr="006A724A">
      <w:rPr>
        <w:rStyle w:val="Seitenzahl"/>
        <w:rFonts w:ascii="Arial" w:hAnsi="Arial" w:cs="Arial"/>
        <w:sz w:val="16"/>
        <w:szCs w:val="16"/>
      </w:rPr>
      <w:fldChar w:fldCharType="begin"/>
    </w:r>
    <w:r w:rsidRPr="006A724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6A724A">
      <w:rPr>
        <w:rStyle w:val="Seitenzahl"/>
        <w:rFonts w:ascii="Arial" w:hAnsi="Arial" w:cs="Arial"/>
        <w:sz w:val="16"/>
        <w:szCs w:val="16"/>
      </w:rPr>
      <w:fldChar w:fldCharType="separate"/>
    </w:r>
    <w:r w:rsidR="00CE4340">
      <w:rPr>
        <w:rStyle w:val="Seitenzahl"/>
        <w:rFonts w:ascii="Arial" w:hAnsi="Arial" w:cs="Arial"/>
        <w:noProof/>
        <w:sz w:val="16"/>
        <w:szCs w:val="16"/>
      </w:rPr>
      <w:t>1</w:t>
    </w:r>
    <w:r w:rsidRPr="006A724A">
      <w:rPr>
        <w:rStyle w:val="Seitenzahl"/>
        <w:rFonts w:ascii="Arial" w:hAnsi="Arial" w:cs="Arial"/>
        <w:sz w:val="16"/>
        <w:szCs w:val="16"/>
      </w:rPr>
      <w:fldChar w:fldCharType="end"/>
    </w:r>
    <w:r w:rsidRPr="006A724A">
      <w:rPr>
        <w:rStyle w:val="Seitenzahl"/>
        <w:rFonts w:ascii="Arial" w:hAnsi="Arial" w:cs="Arial"/>
        <w:sz w:val="16"/>
        <w:szCs w:val="16"/>
      </w:rPr>
      <w:t xml:space="preserve"> von </w:t>
    </w:r>
    <w:r w:rsidRPr="006A724A">
      <w:rPr>
        <w:rStyle w:val="Seitenzahl"/>
        <w:rFonts w:ascii="Arial" w:hAnsi="Arial" w:cs="Arial"/>
        <w:sz w:val="16"/>
        <w:szCs w:val="16"/>
      </w:rPr>
      <w:fldChar w:fldCharType="begin"/>
    </w:r>
    <w:r w:rsidRPr="006A724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6A724A">
      <w:rPr>
        <w:rStyle w:val="Seitenzahl"/>
        <w:rFonts w:ascii="Arial" w:hAnsi="Arial" w:cs="Arial"/>
        <w:sz w:val="16"/>
        <w:szCs w:val="16"/>
      </w:rPr>
      <w:fldChar w:fldCharType="separate"/>
    </w:r>
    <w:r w:rsidR="00CE4340">
      <w:rPr>
        <w:rStyle w:val="Seitenzahl"/>
        <w:rFonts w:ascii="Arial" w:hAnsi="Arial" w:cs="Arial"/>
        <w:noProof/>
        <w:sz w:val="16"/>
        <w:szCs w:val="16"/>
      </w:rPr>
      <w:t>5</w:t>
    </w:r>
    <w:r w:rsidRPr="006A724A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49346" w14:textId="77777777" w:rsidR="005D6429" w:rsidRDefault="005D6429">
      <w:r>
        <w:separator/>
      </w:r>
    </w:p>
  </w:footnote>
  <w:footnote w:type="continuationSeparator" w:id="0">
    <w:p w14:paraId="3E7AB585" w14:textId="77777777" w:rsidR="005D6429" w:rsidRDefault="005D6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35CD" w14:textId="424BC42B" w:rsidR="00F21AAA" w:rsidRPr="00BA70BD" w:rsidRDefault="006A724A" w:rsidP="00B67F63">
    <w:pPr>
      <w:pStyle w:val="Kopfzeile"/>
      <w:tabs>
        <w:tab w:val="clear" w:pos="9072"/>
        <w:tab w:val="right" w:pos="9356"/>
      </w:tabs>
      <w:rPr>
        <w:rFonts w:ascii="Arial" w:hAnsi="Arial"/>
        <w:b/>
        <w:sz w:val="32"/>
        <w:szCs w:val="32"/>
      </w:rPr>
    </w:pPr>
    <w:r>
      <w:rPr>
        <w:rFonts w:ascii="Arial" w:hAnsi="Arial"/>
        <w:b/>
        <w:sz w:val="32"/>
        <w:szCs w:val="32"/>
      </w:rPr>
      <w:t>Richtlinie</w:t>
    </w:r>
    <w:r w:rsidR="00F21AAA" w:rsidRPr="00674710">
      <w:rPr>
        <w:rFonts w:ascii="Arial" w:hAnsi="Arial"/>
        <w:b/>
        <w:sz w:val="32"/>
        <w:szCs w:val="32"/>
      </w:rPr>
      <w:t xml:space="preserve"> </w:t>
    </w:r>
    <w:r w:rsidR="00437C04">
      <w:rPr>
        <w:rFonts w:ascii="Arial" w:hAnsi="Arial"/>
        <w:b/>
        <w:sz w:val="32"/>
        <w:szCs w:val="32"/>
      </w:rPr>
      <w:t>Notfallmanagement</w:t>
    </w:r>
  </w:p>
  <w:p w14:paraId="0959AAA1" w14:textId="06AA75BA" w:rsidR="00F21AAA" w:rsidRPr="00F21AAA" w:rsidRDefault="006A724A" w:rsidP="00B67F63">
    <w:pPr>
      <w:pStyle w:val="Kopfzeile"/>
      <w:spacing w:after="120"/>
      <w:rPr>
        <w:rFonts w:ascii="Arial" w:hAnsi="Arial"/>
        <w:sz w:val="32"/>
        <w:szCs w:val="32"/>
      </w:rPr>
    </w:pPr>
    <w:r>
      <w:rPr>
        <w:rFonts w:ascii="Arial" w:hAnsi="Arial"/>
        <w:sz w:val="32"/>
        <w:szCs w:val="32"/>
      </w:rPr>
      <w:t>RL</w:t>
    </w:r>
    <w:r w:rsidR="00F21AAA">
      <w:rPr>
        <w:rFonts w:ascii="Arial" w:hAnsi="Arial"/>
        <w:sz w:val="32"/>
        <w:szCs w:val="32"/>
      </w:rPr>
      <w:t>00</w:t>
    </w:r>
    <w:r w:rsidR="00B67F63">
      <w:rPr>
        <w:rFonts w:ascii="Arial" w:hAnsi="Arial"/>
        <w:sz w:val="32"/>
        <w:szCs w:val="3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E26B595"/>
    <w:multiLevelType w:val="hybridMultilevel"/>
    <w:tmpl w:val="98BD66D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88D5E5"/>
    <w:multiLevelType w:val="hybridMultilevel"/>
    <w:tmpl w:val="AFB3C64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632B29A2"/>
    <w:multiLevelType w:val="hybridMultilevel"/>
    <w:tmpl w:val="B454AE9C"/>
    <w:lvl w:ilvl="0" w:tplc="A366F38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260835"/>
    <w:multiLevelType w:val="hybridMultilevel"/>
    <w:tmpl w:val="B48ABA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388365">
    <w:abstractNumId w:val="1"/>
  </w:num>
  <w:num w:numId="2" w16cid:durableId="1552883015">
    <w:abstractNumId w:val="0"/>
  </w:num>
  <w:num w:numId="3" w16cid:durableId="1241477525">
    <w:abstractNumId w:val="2"/>
  </w:num>
  <w:num w:numId="4" w16cid:durableId="962812976">
    <w:abstractNumId w:val="4"/>
  </w:num>
  <w:num w:numId="5" w16cid:durableId="1442069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3C"/>
    <w:rsid w:val="00001BAF"/>
    <w:rsid w:val="00066E90"/>
    <w:rsid w:val="000918B0"/>
    <w:rsid w:val="000A44D6"/>
    <w:rsid w:val="000C6B03"/>
    <w:rsid w:val="000F22A0"/>
    <w:rsid w:val="000F55A9"/>
    <w:rsid w:val="00102884"/>
    <w:rsid w:val="00110429"/>
    <w:rsid w:val="00135B86"/>
    <w:rsid w:val="00144A4E"/>
    <w:rsid w:val="001B53A5"/>
    <w:rsid w:val="001D65CA"/>
    <w:rsid w:val="00213B6F"/>
    <w:rsid w:val="00232F54"/>
    <w:rsid w:val="00247943"/>
    <w:rsid w:val="0025229D"/>
    <w:rsid w:val="002618CA"/>
    <w:rsid w:val="00272C71"/>
    <w:rsid w:val="002805A6"/>
    <w:rsid w:val="002816EF"/>
    <w:rsid w:val="002C5AF4"/>
    <w:rsid w:val="002D6868"/>
    <w:rsid w:val="002F4525"/>
    <w:rsid w:val="00324C91"/>
    <w:rsid w:val="00336E7B"/>
    <w:rsid w:val="00354B1A"/>
    <w:rsid w:val="003A02A7"/>
    <w:rsid w:val="003C7857"/>
    <w:rsid w:val="003E06CC"/>
    <w:rsid w:val="003E508E"/>
    <w:rsid w:val="00433C69"/>
    <w:rsid w:val="00437C04"/>
    <w:rsid w:val="00450DB1"/>
    <w:rsid w:val="004556FA"/>
    <w:rsid w:val="00463445"/>
    <w:rsid w:val="00494F96"/>
    <w:rsid w:val="004A4C2B"/>
    <w:rsid w:val="004B2CDA"/>
    <w:rsid w:val="004C4469"/>
    <w:rsid w:val="004D55F8"/>
    <w:rsid w:val="005231CD"/>
    <w:rsid w:val="005274AC"/>
    <w:rsid w:val="00564E94"/>
    <w:rsid w:val="00572AFA"/>
    <w:rsid w:val="00572DA6"/>
    <w:rsid w:val="00581EEC"/>
    <w:rsid w:val="00590C42"/>
    <w:rsid w:val="00597392"/>
    <w:rsid w:val="005D6429"/>
    <w:rsid w:val="005E3FB8"/>
    <w:rsid w:val="0066613E"/>
    <w:rsid w:val="006A724A"/>
    <w:rsid w:val="006C3E61"/>
    <w:rsid w:val="006D5BB3"/>
    <w:rsid w:val="006F40DF"/>
    <w:rsid w:val="006F51EF"/>
    <w:rsid w:val="007413A4"/>
    <w:rsid w:val="00744CA7"/>
    <w:rsid w:val="0076189E"/>
    <w:rsid w:val="00780EE1"/>
    <w:rsid w:val="0078545F"/>
    <w:rsid w:val="007A311A"/>
    <w:rsid w:val="008307F7"/>
    <w:rsid w:val="00863C84"/>
    <w:rsid w:val="00865416"/>
    <w:rsid w:val="00865B48"/>
    <w:rsid w:val="00865D9F"/>
    <w:rsid w:val="008A0175"/>
    <w:rsid w:val="008B5142"/>
    <w:rsid w:val="009014A7"/>
    <w:rsid w:val="00926429"/>
    <w:rsid w:val="009308FE"/>
    <w:rsid w:val="00944996"/>
    <w:rsid w:val="00960AB2"/>
    <w:rsid w:val="00967A78"/>
    <w:rsid w:val="009930AF"/>
    <w:rsid w:val="009B0256"/>
    <w:rsid w:val="00A40420"/>
    <w:rsid w:val="00A546A9"/>
    <w:rsid w:val="00A63927"/>
    <w:rsid w:val="00A87DFA"/>
    <w:rsid w:val="00A90E6F"/>
    <w:rsid w:val="00A93742"/>
    <w:rsid w:val="00A96742"/>
    <w:rsid w:val="00AC0ECF"/>
    <w:rsid w:val="00B02286"/>
    <w:rsid w:val="00B1791B"/>
    <w:rsid w:val="00B30538"/>
    <w:rsid w:val="00B33604"/>
    <w:rsid w:val="00B338B4"/>
    <w:rsid w:val="00B43B7A"/>
    <w:rsid w:val="00B53B02"/>
    <w:rsid w:val="00B57824"/>
    <w:rsid w:val="00B67F63"/>
    <w:rsid w:val="00BA47FD"/>
    <w:rsid w:val="00BB71D2"/>
    <w:rsid w:val="00BB7FCC"/>
    <w:rsid w:val="00BD3758"/>
    <w:rsid w:val="00BE256F"/>
    <w:rsid w:val="00C25981"/>
    <w:rsid w:val="00C30D62"/>
    <w:rsid w:val="00C35E7F"/>
    <w:rsid w:val="00C7306B"/>
    <w:rsid w:val="00CA6CC2"/>
    <w:rsid w:val="00CB2EE9"/>
    <w:rsid w:val="00CD2304"/>
    <w:rsid w:val="00CE4340"/>
    <w:rsid w:val="00D33F3C"/>
    <w:rsid w:val="00D46E3E"/>
    <w:rsid w:val="00D65FB2"/>
    <w:rsid w:val="00D7672B"/>
    <w:rsid w:val="00D82044"/>
    <w:rsid w:val="00D9120E"/>
    <w:rsid w:val="00D9798E"/>
    <w:rsid w:val="00DD125F"/>
    <w:rsid w:val="00DD7972"/>
    <w:rsid w:val="00DE46B0"/>
    <w:rsid w:val="00E1152A"/>
    <w:rsid w:val="00E202B7"/>
    <w:rsid w:val="00E20A0E"/>
    <w:rsid w:val="00E26335"/>
    <w:rsid w:val="00E45DA1"/>
    <w:rsid w:val="00E61D72"/>
    <w:rsid w:val="00E67C0F"/>
    <w:rsid w:val="00E84C27"/>
    <w:rsid w:val="00F10F09"/>
    <w:rsid w:val="00F21AAA"/>
    <w:rsid w:val="00F226E7"/>
    <w:rsid w:val="00F35BB8"/>
    <w:rsid w:val="00F66664"/>
    <w:rsid w:val="00FB69A4"/>
    <w:rsid w:val="00FD6992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A78400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46B0"/>
    <w:rPr>
      <w:rFonts w:ascii="Tahoma" w:hAnsi="Tahoma"/>
      <w:sz w:val="22"/>
      <w:szCs w:val="24"/>
    </w:rPr>
  </w:style>
  <w:style w:type="paragraph" w:styleId="berschrift1">
    <w:name w:val="heading 1"/>
    <w:basedOn w:val="Standard"/>
    <w:next w:val="Standard"/>
    <w:qFormat/>
    <w:rsid w:val="00865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65D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8">
    <w:name w:val="CM8"/>
    <w:basedOn w:val="Default"/>
    <w:next w:val="Default"/>
    <w:pPr>
      <w:spacing w:after="320"/>
    </w:pPr>
    <w:rPr>
      <w:color w:val="auto"/>
    </w:rPr>
  </w:style>
  <w:style w:type="paragraph" w:customStyle="1" w:styleId="CM9">
    <w:name w:val="CM9"/>
    <w:basedOn w:val="Default"/>
    <w:next w:val="Default"/>
    <w:pPr>
      <w:spacing w:after="120"/>
    </w:pPr>
    <w:rPr>
      <w:color w:val="auto"/>
    </w:rPr>
  </w:style>
  <w:style w:type="paragraph" w:customStyle="1" w:styleId="CM2">
    <w:name w:val="CM2"/>
    <w:basedOn w:val="Default"/>
    <w:next w:val="Default"/>
    <w:pPr>
      <w:spacing w:line="226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after="233"/>
    </w:pPr>
    <w:rPr>
      <w:color w:val="auto"/>
    </w:rPr>
  </w:style>
  <w:style w:type="paragraph" w:customStyle="1" w:styleId="CM6">
    <w:name w:val="CM6"/>
    <w:basedOn w:val="Default"/>
    <w:next w:val="Default"/>
    <w:pPr>
      <w:spacing w:line="223" w:lineRule="atLeast"/>
    </w:pPr>
    <w:rPr>
      <w:color w:val="auto"/>
    </w:rPr>
  </w:style>
  <w:style w:type="paragraph" w:styleId="Kopfzeile">
    <w:name w:val="header"/>
    <w:basedOn w:val="Standard"/>
    <w:rsid w:val="00D33F3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33F3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3C69"/>
  </w:style>
  <w:style w:type="character" w:styleId="Fett">
    <w:name w:val="Strong"/>
    <w:basedOn w:val="Absatz-Standardschriftart"/>
    <w:qFormat/>
    <w:rsid w:val="00DE46B0"/>
    <w:rPr>
      <w:b/>
      <w:bCs/>
    </w:rPr>
  </w:style>
  <w:style w:type="paragraph" w:styleId="Textkrper">
    <w:name w:val="Body Text"/>
    <w:basedOn w:val="Standard"/>
    <w:rsid w:val="00DE46B0"/>
    <w:pPr>
      <w:spacing w:after="120"/>
    </w:pPr>
  </w:style>
  <w:style w:type="paragraph" w:styleId="Funotentext">
    <w:name w:val="footnote text"/>
    <w:basedOn w:val="Standard"/>
    <w:semiHidden/>
    <w:rsid w:val="007A311A"/>
    <w:rPr>
      <w:sz w:val="20"/>
      <w:szCs w:val="20"/>
    </w:rPr>
  </w:style>
  <w:style w:type="character" w:styleId="Funotenzeichen">
    <w:name w:val="footnote reference"/>
    <w:basedOn w:val="Absatz-Standardschriftart"/>
    <w:semiHidden/>
    <w:rsid w:val="007A311A"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rsid w:val="002D6868"/>
    <w:rPr>
      <w:rFonts w:ascii="Arial" w:hAnsi="Arial"/>
      <w:b/>
      <w:caps/>
      <w:szCs w:val="22"/>
    </w:rPr>
  </w:style>
  <w:style w:type="paragraph" w:styleId="Verzeichnis2">
    <w:name w:val="toc 2"/>
    <w:basedOn w:val="Standard"/>
    <w:next w:val="Standard"/>
    <w:autoRedefine/>
    <w:uiPriority w:val="39"/>
    <w:rsid w:val="002D6868"/>
    <w:pPr>
      <w:ind w:left="220"/>
    </w:pPr>
    <w:rPr>
      <w:rFonts w:ascii="Arial" w:hAnsi="Arial"/>
      <w:caps/>
      <w:szCs w:val="20"/>
    </w:rPr>
  </w:style>
  <w:style w:type="character" w:styleId="Hyperlink">
    <w:name w:val="Hyperlink"/>
    <w:basedOn w:val="Absatz-Standardschriftart"/>
    <w:uiPriority w:val="99"/>
    <w:rsid w:val="00865D9F"/>
    <w:rPr>
      <w:color w:val="0000FF"/>
      <w:u w:val="single"/>
    </w:rPr>
  </w:style>
  <w:style w:type="table" w:styleId="Tabellenraster">
    <w:name w:val="Table Grid"/>
    <w:basedOn w:val="NormaleTabelle"/>
    <w:rsid w:val="00FE3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semiHidden/>
    <w:rsid w:val="002D6868"/>
    <w:pPr>
      <w:ind w:left="440"/>
    </w:pPr>
    <w:rPr>
      <w:szCs w:val="22"/>
    </w:rPr>
  </w:style>
  <w:style w:type="paragraph" w:customStyle="1" w:styleId="Standardklein">
    <w:name w:val="Standard klein"/>
    <w:basedOn w:val="Standard"/>
    <w:rsid w:val="00D46E3E"/>
    <w:rPr>
      <w:sz w:val="16"/>
      <w:szCs w:val="10"/>
    </w:rPr>
  </w:style>
  <w:style w:type="paragraph" w:customStyle="1" w:styleId="Standardkleinfett">
    <w:name w:val="Standard klein fett"/>
    <w:basedOn w:val="Standardklein"/>
    <w:next w:val="Standardklein"/>
    <w:rsid w:val="00D46E3E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E61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E61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6F51EF"/>
    <w:rPr>
      <w:rFonts w:ascii="Tahoma" w:hAnsi="Tahoma"/>
      <w:sz w:val="22"/>
      <w:szCs w:val="24"/>
    </w:rPr>
  </w:style>
  <w:style w:type="paragraph" w:customStyle="1" w:styleId="Einfach">
    <w:name w:val="Einfach"/>
    <w:basedOn w:val="Standard"/>
    <w:rsid w:val="00437C04"/>
    <w:pPr>
      <w:widowControl w:val="0"/>
      <w:jc w:val="both"/>
    </w:pPr>
    <w:rPr>
      <w:rFonts w:ascii="Arial" w:hAnsi="Arial"/>
      <w:sz w:val="12"/>
      <w:szCs w:val="20"/>
    </w:rPr>
  </w:style>
  <w:style w:type="paragraph" w:customStyle="1" w:styleId="Fuzeile1">
    <w:name w:val="Fußzeile1"/>
    <w:basedOn w:val="Kopfzeile"/>
    <w:rsid w:val="00437C04"/>
    <w:pPr>
      <w:suppressAutoHyphens/>
    </w:pPr>
    <w:rPr>
      <w:rFonts w:ascii="Smart Courier Condensed" w:hAnsi="Smart Courier Condensed"/>
      <w:sz w:val="16"/>
      <w:lang w:eastAsia="ar-SA"/>
    </w:rPr>
  </w:style>
  <w:style w:type="paragraph" w:styleId="Listenabsatz">
    <w:name w:val="List Paragraph"/>
    <w:basedOn w:val="Standard"/>
    <w:uiPriority w:val="34"/>
    <w:qFormat/>
    <w:rsid w:val="00135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467</Words>
  <Characters>2945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CCE21BF9.doc</vt:lpstr>
    </vt:vector>
  </TitlesOfParts>
  <Company/>
  <LinksUpToDate>false</LinksUpToDate>
  <CharactersWithSpaces>3406</CharactersWithSpaces>
  <SharedDoc>false</SharedDoc>
  <HLinks>
    <vt:vector size="96" baseType="variant"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_Toc237422769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_Toc237422768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_Toc237422767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_Toc237422766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_Toc237422765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_Toc237422764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_Toc237422763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_Toc237422762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_Toc237422761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_Toc237422760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_Toc237422759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_Toc237422758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_Toc237422757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_Toc237422756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_Toc237422755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_Toc237422754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2023-02-01T12:47:00Z</dcterms:created>
  <dcterms:modified xsi:type="dcterms:W3CDTF">2024-04-09T15:10:00Z</dcterms:modified>
</cp:coreProperties>
</file>