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rPr>
          <w:rFonts w:ascii="Arial" w:hAnsi="Arial" w:cs="Arial"/>
          <w:b/>
          <w:b/>
          <w:bCs/>
          <w:color w:val="000080"/>
          <w:sz w:val="22"/>
          <w:szCs w:val="22"/>
        </w:rPr>
      </w:pPr>
      <w:r>
        <w:rPr>
          <w:rFonts w:cs="Arial" w:ascii="Arial" w:hAnsi="Arial"/>
          <w:b/>
          <w:bCs/>
          <w:color w:val="000080"/>
          <w:sz w:val="22"/>
          <w:szCs w:val="22"/>
        </w:rPr>
        <w:t>Diese Übersicht besitzt reinen Informationscharakter</w:t>
      </w:r>
    </w:p>
    <w:tbl>
      <w:tblPr>
        <w:tblStyle w:val="Tabellenraster"/>
        <w:tblW w:w="150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338"/>
        <w:gridCol w:w="4676"/>
        <w:gridCol w:w="7996"/>
      </w:tblGrid>
      <w:tr>
        <w:trPr/>
        <w:tc>
          <w:tcPr>
            <w:tcW w:w="15010" w:type="dxa"/>
            <w:gridSpan w:val="3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before="120" w:after="12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Übersicht der gesetzlichen Vorschriften</w:t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Rechtsgebiet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Gesetz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Erläuterung</w:t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Staatsrecht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GG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Grundgesetz für die Bundesrepublik Deutschland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Verwaltungsrecht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GBO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Grundbuchordnung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Sozialrecht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ArEV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SGB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Arbeitsentgeltverordnung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3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4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5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6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7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9 - Schwerbehindertengesetz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10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Sozialgesetzbuch 11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allgemeiner Teil, für alle Bereiche des Sozialrechts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Arbeitsförderung und Arbeitslosigkeitsversicherung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Sozialversicherung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gesetzliche Krankenversicherung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gesetzliche Rentenversicherung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gesetzliche Unfallversicherung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 xml:space="preserve">Behindertenrecht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Verwaltungsverfahren in sozialrechtlichen Angelegenheiten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gesetzliche Pflegeversicherung</w:t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0"/>
                <w:szCs w:val="20"/>
                <w:lang w:val="de-DE" w:eastAsia="de-DE" w:bidi="ar-SA"/>
              </w:rPr>
              <w:t>Zivilrecht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Bürgerliches 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BGB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InsO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InsVfVO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ZPO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Bürgerliches Gesetzbuch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Insolvenzverordnung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Verordnung über Insolvenzverfahren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Zivilprozessordnung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0" w:leader="none"/>
              </w:tabs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ab/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Zivilrechtlicher Verbraucherschutz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AGBG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ProdHaftG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UKlaG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 zur Regelung des Rechts der allgemeinen Geschäftsbedingungen. Die entsprechenden Bestimmungen sind im BGB und im Unterlassungsklagengesetz zu finden.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 über die Haftung für fehlerhafte Produkte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Unterlassungsklagengesetz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kern w:val="0"/>
                <w:sz w:val="20"/>
                <w:szCs w:val="20"/>
                <w:lang w:val="de-DE" w:eastAsia="de-DE" w:bidi="ar-SA"/>
              </w:rPr>
              <w:t xml:space="preserve">Aufgehoben </w:t>
            </w: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durch Schuldrechtsmodernisierungsgesetz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 über Unterlassungsklagen bei Verbraucherrechts- und anderen Verstößen</w:t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(Individual-) Arbeitsrecht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ArbGG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ArbPlSchG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ArbZG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AsiG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AteilzG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AÜG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BetrSichV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BGV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BildschirmV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BurlG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EntgFG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JarbSchG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KSchG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MuSchG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MuSchRiV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NachwG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TzBfG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Arbeitsgerichtsgesetz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Arbeitsplatzschutzgesetz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Arbeitsschutzgesetz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Arbeitszeitgesetz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Arbeitssicherheitsgesetz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Arbeitsteilzeitgesetz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Arbeitnehmerüberlassungsgesetz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Betriebssicherheitsverordnung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Berufsgenossenschaftliche Vorschriften für Sicherheit und Gesundheit bei der Arbeit (Unfallverhütungsvorschriften)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Bildschirmarbeitsverordnung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Beschäftigtenschutzgesetz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Bundesurlaubsgestz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Entgeltfortzahlungsgesetz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Jugendarbeitsschutzgesetz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Kündigungsschutzgesetz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 zum Schutze der erwerbstätigen Mutter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Mutterschutzrichtlinienverordnung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Nachweisgesetz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Teilzeit- und Befristungsgesetz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Schutz des Arbeitsplatzes bei Einberufung zum Wehrdienst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Verbesserung der Sicherheit und des Gesundheitsschutzes der Beschäftigten bei der Arbeit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Verordnung über Sicherheit und Gesundheitsschutz bei der Bereitstellung von Arbeitsmitteln und deren Benutzung bei der Arbeit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Gesetz über den Nachweis der für ein Arbeitsverhältnis geltenden wesentlichen Bedingungen</w:t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Kollektives Arbeitsrecht und Betriebs-verfassungsrecht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BetrVG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MitbestBeiG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MitbestErgG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MitbestG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MmitbestG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TVG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TVV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Betriebsverfassungsgesetz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Mitbestimmungs-Beibehaltungsgesetz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Mitbestimmungs-Ergänzungsgesetz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Mitbestimmungsgesetz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Montan-Mitbestimmungsgesetz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Tarifvertragsgesetz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Tarifvertragsordnung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Handelsrecht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HGB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Handelsgesetzbuch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Bundes-datenschutzgesetz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BDSG - neu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EU-Datenschutzgrundverordnung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de-DE" w:eastAsia="de-DE" w:bidi="ar-SA"/>
              </w:rPr>
              <w:t>DSGVO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Allgemeine Deutsche Spediteur-bedingungen ADSp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Arbeitssicherheit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ASiG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Arbeitssicherheitsgesetze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Energie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EEG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EnEv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BImSchG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StromStG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EnStG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KWKG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StromNeV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EnEfG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Erneuerbare-Energien-Gesetz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Energieeinsparverordnung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Bundes-Immissionsschutzgesetz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Stromsteuergesetz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Energiesteuergesetz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Kraft-Wärme-Kopplungsgesetz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Stromnetzentgeltverordnung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Entwurf für ein Energieeffizienzgesetz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BVT-Merkblatt Energieeffizienz</w:t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80"/>
              </w:rPr>
            </w:pPr>
            <w:r>
              <w:rPr>
                <w:rFonts w:eastAsia="Times New Roman" w:cs="Arial" w:ascii="Arial" w:hAnsi="Arial"/>
                <w:color w:val="00008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Umwelt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UmweltHG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WHG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UVPG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BImSchG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AltölV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AbfG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 xml:space="preserve">LAbfg,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AbwAG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AwSv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AbwV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NachwV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BattG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  <w:t>ElektroG</w:t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Umwelthaftungsgesetz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Wasserhaushaltsgesetz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Umweltverträglichkeitsgesetz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Bundesimmissionsgesetz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Altölverordnung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Abfallgesetz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Landesabfallgesetz Berlin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Abwasserabgabengesetzt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Gewässerschutzrecht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Abwasserverordnung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Verordnung über die Nachweisführung von Abfällen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 xml:space="preserve">Batteriegesetz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Elektrogesetz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</w:tc>
        <w:tc>
          <w:tcPr>
            <w:tcW w:w="79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de-DE" w:eastAsia="de-DE" w:bidi="ar-SA"/>
              </w:rPr>
              <w:t>Rechtsvorschriften für Anlagen zum Umgang mit wassergefährdenden Stoffen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0"/>
                <w:szCs w:val="20"/>
                <w:lang w:val="de-DE" w:eastAsia="de-DE" w:bidi="ar-SA"/>
              </w:rPr>
            </w:r>
          </w:p>
        </w:tc>
      </w:tr>
    </w:tbl>
    <w:p>
      <w:pPr>
        <w:pStyle w:val="Normal"/>
        <w:rPr>
          <w:rFonts w:ascii="Arial" w:hAnsi="Arial" w:cs="Arial"/>
          <w:color w:val="000080"/>
          <w:sz w:val="22"/>
          <w:szCs w:val="22"/>
        </w:rPr>
      </w:pPr>
      <w:r>
        <w:rPr>
          <w:rFonts w:cs="Arial" w:ascii="Arial" w:hAnsi="Arial"/>
          <w:color w:val="000080"/>
          <w:sz w:val="22"/>
          <w:szCs w:val="22"/>
        </w:rPr>
      </w:r>
    </w:p>
    <w:tbl>
      <w:tblPr>
        <w:tblW w:w="1501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1346"/>
        <w:gridCol w:w="2268"/>
        <w:gridCol w:w="11396"/>
      </w:tblGrid>
      <w:tr>
        <w:trPr>
          <w:cantSplit w:val="true"/>
        </w:trPr>
        <w:tc>
          <w:tcPr>
            <w:tcW w:w="15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pct10"/>
          </w:tcPr>
          <w:p>
            <w:pPr>
              <w:pStyle w:val="Normal"/>
              <w:widowControl w:val="false"/>
              <w:spacing w:before="120" w:after="120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Übersicht der Normen</w:t>
            </w:r>
          </w:p>
          <w:p>
            <w:pPr>
              <w:pStyle w:val="Normal"/>
              <w:widowControl w:val="false"/>
              <w:spacing w:before="120" w:after="120"/>
              <w:rPr>
                <w:rFonts w:ascii="Arial" w:hAnsi="Arial" w:cs="Arial"/>
                <w:color w:val="000080"/>
              </w:rPr>
            </w:pPr>
            <w:r>
              <w:rPr>
                <w:rFonts w:cs="Arial" w:ascii="Arial" w:hAnsi="Arial"/>
                <w:color w:val="000080"/>
              </w:rPr>
            </w:r>
          </w:p>
        </w:tc>
      </w:tr>
      <w:tr>
        <w:trPr/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DIN/EN ISO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  <w:lang w:val="en-US"/>
              </w:rPr>
              <w:t>ISO 19011:2011-13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Leitfaden zur Auditierung von Managementsystemen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  <w:lang w:val="en-US"/>
              </w:rPr>
              <w:t>ISO 9001:2015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Qualitätsmanagementsysteme - Anforderungen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b/>
                <w:b/>
                <w:lang w:val="en-US"/>
              </w:rPr>
            </w:pPr>
            <w:r>
              <w:rPr>
                <w:rFonts w:cs="Arial" w:ascii="Arial" w:hAnsi="Arial"/>
                <w:b/>
                <w:lang w:val="en-US"/>
              </w:rPr>
              <w:t>ISO 9000:2015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Qualitätsmanagementsysteme - Grundlagen und Begriffe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b/>
                <w:b/>
                <w:lang w:val="en-US"/>
              </w:rPr>
            </w:pPr>
            <w:r>
              <w:rPr>
                <w:rFonts w:cs="Arial" w:ascii="Arial" w:hAnsi="Arial"/>
                <w:b/>
                <w:lang w:val="en-US"/>
              </w:rPr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  <w:t>DIN EN61326-1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</w:rPr>
            </w:pPr>
            <w:bookmarkStart w:id="0" w:name="__DdeLink__203_630967816"/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VDE 0843-20-1</w:t>
            </w:r>
            <w:bookmarkEnd w:id="0"/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:20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13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-0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7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 xml:space="preserve"> elektrische Mess-, Steuer-, Regel- und Laborgeräte – EMV-Anforderungen – Teil 1: Allgemeine Anforderungen (IEC 61326-1: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20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2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 xml:space="preserve">); Deutsche Fassung </w:t>
            </w:r>
            <w:bookmarkStart w:id="1" w:name="__DdeLink__192_630967816"/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EN 61326-1</w:t>
            </w:r>
            <w:bookmarkEnd w:id="1"/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:20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13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 xml:space="preserve">/ 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electrical equipment for measurement, control, and laboratory use – EMC requirements – part 1: General requirementts (IEC 61326-1: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201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2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); German version EN 61326-1:20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13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  <w:t>DIN EN61010-1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 xml:space="preserve">Sicherheitsbestlimmungen für elektrische Mess-, Steuer-, Regel- und Laborgeräte – Teil 1: Allgemeine Anforderungen (IEC61010-1:2010); Deutsche Fassung EN61010-1:2010/ 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</w:rPr>
              <w:t>Safety requirements for electrical equipment for measurement, control, and laboratory use – Part 1: General requirements (IEC 61010-1:2010); German version EN 61010-1:2010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  <w:t>DIN EN 60825-1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Sicherheit von Lasereinrichtungen – Teil 1: Klassifizierung von Anlagen und Anforderungen (IEC 60825-1:2014); Deutsche Fassung EN 60825-1:2014 / Safety of laser products – Part 1: Equipment classification and requirements (IEC 60825-1:2014); German version EN 60825-1:2014</w:t>
            </w:r>
          </w:p>
        </w:tc>
      </w:tr>
      <w:tr>
        <w:trPr/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  <w:t>DIN EN ISO 11252:2014-02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Laser und Laseranlagen — Lasergerät — Mindestanforderungen an die Dokumentation</w:t>
            </w:r>
          </w:p>
        </w:tc>
      </w:tr>
      <w:tr>
        <w:trPr/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/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292" w:leader="none"/>
              </w:tabs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rPr>
          <w:rFonts w:ascii="Arial" w:hAnsi="Arial" w:cs="Arial"/>
          <w:color w:val="000080"/>
          <w:sz w:val="22"/>
          <w:szCs w:val="22"/>
        </w:rPr>
      </w:pPr>
      <w:r>
        <w:rPr>
          <w:rFonts w:cs="Arial" w:ascii="Arial" w:hAnsi="Arial"/>
          <w:color w:val="000080"/>
          <w:sz w:val="22"/>
          <w:szCs w:val="22"/>
        </w:rPr>
      </w:r>
    </w:p>
    <w:p>
      <w:pPr>
        <w:pStyle w:val="Normal"/>
        <w:rPr>
          <w:rFonts w:ascii="Arial" w:hAnsi="Arial" w:cs="Arial"/>
          <w:color w:val="000080"/>
          <w:sz w:val="22"/>
          <w:szCs w:val="22"/>
        </w:rPr>
      </w:pPr>
      <w:r>
        <w:rPr/>
      </w:r>
    </w:p>
    <w:tbl>
      <w:tblPr>
        <w:tblW w:w="1501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1346"/>
        <w:gridCol w:w="2268"/>
        <w:gridCol w:w="11396"/>
      </w:tblGrid>
      <w:tr>
        <w:trPr>
          <w:cantSplit w:val="true"/>
        </w:trPr>
        <w:tc>
          <w:tcPr>
            <w:tcW w:w="15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pct10"/>
          </w:tcPr>
          <w:p>
            <w:pPr>
              <w:pStyle w:val="Normal"/>
              <w:widowControl w:val="false"/>
              <w:spacing w:before="120" w:after="120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Richtlinien</w:t>
            </w:r>
          </w:p>
          <w:p>
            <w:pPr>
              <w:pStyle w:val="Normal"/>
              <w:widowControl w:val="false"/>
              <w:spacing w:before="120" w:after="120"/>
              <w:rPr>
                <w:rFonts w:ascii="Arial" w:hAnsi="Arial" w:cs="Arial"/>
                <w:color w:val="000080"/>
              </w:rPr>
            </w:pPr>
            <w:r>
              <w:rPr>
                <w:rFonts w:cs="Arial" w:ascii="Arial" w:hAnsi="Arial"/>
                <w:color w:val="000080"/>
              </w:rPr>
            </w:r>
          </w:p>
        </w:tc>
      </w:tr>
      <w:tr>
        <w:trPr/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en-US"/>
              </w:rPr>
              <w:t>2011/65/EU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und Anhang 2015/863, ROHS - Beschränkung der Verwendung bestimmter gefährlicher Stoffe in Elektro- und Elektronikgeräten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en-US"/>
              </w:rPr>
              <w:t>1907/2006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Arial" w:hAnsi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REACH:</w:t>
            </w: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u w:val="none"/>
                <w:lang w:val="de-DE"/>
              </w:rPr>
              <w:t xml:space="preserve"> EU-Chemikalienverordnung, Registrierung, Bewertung, Zulassung und Beschränkung von Chemikalien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en-US"/>
              </w:rPr>
              <w:t>2012/19/EU</w:t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</w:rPr>
              <w:t>WEEE = Waste of Electrical and Electronic Equipment</w:t>
            </w:r>
          </w:p>
        </w:tc>
      </w:tr>
      <w:tr>
        <w:trPr/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en-US"/>
              </w:rPr>
            </w:r>
          </w:p>
        </w:tc>
        <w:tc>
          <w:tcPr>
            <w:tcW w:w="1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538" w:gutter="0" w:header="454" w:top="851" w:footer="454" w:bottom="851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476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 w:noHBand="0" w:noVBand="0" w:firstColumn="1" w:lastRow="1" w:lastColumn="1" w:firstRow="1"/>
    </w:tblPr>
    <w:tblGrid>
      <w:gridCol w:w="2139"/>
      <w:gridCol w:w="787"/>
      <w:gridCol w:w="979"/>
      <w:gridCol w:w="3130"/>
      <w:gridCol w:w="7731"/>
    </w:tblGrid>
    <w:tr>
      <w:trPr>
        <w:trHeight w:val="70" w:hRule="atLeast"/>
      </w:trPr>
      <w:tc>
        <w:tcPr>
          <w:tcW w:w="213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>Dokumentenversion</w:t>
          </w:r>
        </w:p>
      </w:tc>
      <w:tc>
        <w:tcPr>
          <w:tcW w:w="78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>1.0</w:t>
          </w:r>
        </w:p>
      </w:tc>
      <w:tc>
        <w:tcPr>
          <w:tcW w:w="9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>Stand:</w:t>
          </w:r>
        </w:p>
      </w:tc>
      <w:tc>
        <w:tcPr>
          <w:tcW w:w="31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>01.04.2024</w:t>
          </w:r>
        </w:p>
      </w:tc>
      <w:tc>
        <w:tcPr>
          <w:tcW w:w="773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 xml:space="preserve">Seite </w:t>
          </w:r>
          <w:r>
            <w:rPr>
              <w:rStyle w:val="Pagenumber"/>
              <w:rFonts w:cs="Arial" w:ascii="Arial" w:hAnsi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 w:ascii="Arial" w:hAnsi="Arial"/>
            </w:rPr>
            <w:instrText xml:space="preserve"> PAGE </w:instrText>
          </w:r>
          <w:r>
            <w:rPr>
              <w:rStyle w:val="Pagenumber"/>
              <w:sz w:val="16"/>
              <w:szCs w:val="16"/>
              <w:rFonts w:cs="Arial" w:ascii="Arial" w:hAnsi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 w:ascii="Arial" w:hAnsi="Arial"/>
            </w:rPr>
            <w:t>4</w:t>
          </w:r>
          <w:r>
            <w:rPr>
              <w:rStyle w:val="Pagenumber"/>
              <w:sz w:val="16"/>
              <w:szCs w:val="16"/>
              <w:rFonts w:cs="Arial" w:ascii="Arial" w:hAnsi="Arial"/>
            </w:rPr>
            <w:fldChar w:fldCharType="end"/>
          </w:r>
          <w:r>
            <w:rPr>
              <w:rStyle w:val="Pagenumber"/>
              <w:rFonts w:cs="Arial" w:ascii="Arial" w:hAnsi="Arial"/>
              <w:sz w:val="16"/>
              <w:szCs w:val="16"/>
            </w:rPr>
            <w:t xml:space="preserve"> von </w:t>
          </w:r>
          <w:r>
            <w:rPr>
              <w:rStyle w:val="Pagenumber"/>
              <w:rFonts w:cs="Arial" w:ascii="Arial" w:hAnsi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 w:ascii="Arial" w:hAnsi="Arial"/>
            </w:rPr>
            <w:instrText xml:space="preserve"> NUMPAGES </w:instrText>
          </w:r>
          <w:r>
            <w:rPr>
              <w:rStyle w:val="Pagenumber"/>
              <w:sz w:val="16"/>
              <w:szCs w:val="16"/>
              <w:rFonts w:cs="Arial" w:ascii="Arial" w:hAnsi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 w:ascii="Arial" w:hAnsi="Arial"/>
            </w:rPr>
            <w:t>4</w:t>
          </w:r>
          <w:r>
            <w:rPr>
              <w:rStyle w:val="Pagenumber"/>
              <w:sz w:val="16"/>
              <w:szCs w:val="16"/>
              <w:rFonts w:cs="Arial" w:ascii="Arial" w:hAnsi="Arial"/>
            </w:rPr>
            <w:fldChar w:fldCharType="end"/>
          </w:r>
        </w:p>
      </w:tc>
    </w:tr>
  </w:tbl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>
        <w:rFonts w:cs="Arial" w:ascii="Arial" w:hAnsi="Arial"/>
        <w:b/>
        <w:bCs/>
        <w:sz w:val="32"/>
        <w:szCs w:val="32"/>
      </w:rPr>
      <w:t>Übersicht Gesetze und Normen</w:t>
    </w:r>
    <w:r>
      <w:rPr>
        <w:rFonts w:cs="Arial" w:ascii="Arial" w:hAnsi="Arial"/>
        <w:b/>
        <w:color w:val="C00000"/>
        <w:sz w:val="32"/>
        <w:szCs w:val="32"/>
      </w:rPr>
      <w:t xml:space="preserve"> </w:t>
      <w:tab/>
      <w:tab/>
      <w:tab/>
      <w:tab/>
      <w:t xml:space="preserve">          </w:t>
    </w:r>
  </w:p>
  <w:p>
    <w:pPr>
      <w:pStyle w:val="Kopfzeile"/>
      <w:rPr>
        <w:szCs w:val="24"/>
      </w:rPr>
    </w:pPr>
    <w:r>
      <w:rPr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2d7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de-DE" w:bidi="ar-SA"/>
    </w:rPr>
  </w:style>
  <w:style w:type="paragraph" w:styleId="Berschrift1">
    <w:name w:val="Heading 1"/>
    <w:basedOn w:val="Normal"/>
    <w:link w:val="Berschrift1Zchn"/>
    <w:uiPriority w:val="9"/>
    <w:qFormat/>
    <w:rsid w:val="00a44f24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c2d7a"/>
    <w:rPr/>
  </w:style>
  <w:style w:type="character" w:styleId="Internetverknpfung">
    <w:name w:val="Hyperlink"/>
    <w:basedOn w:val="DefaultParagraphFont"/>
    <w:rsid w:val="00dc3ab4"/>
    <w:rPr>
      <w:color w:val="0000FF"/>
      <w:u w:val="single"/>
    </w:rPr>
  </w:style>
  <w:style w:type="character" w:styleId="BesuchteInternetverknpfung">
    <w:name w:val="FollowedHyperlink"/>
    <w:basedOn w:val="DefaultParagraphFont"/>
    <w:rsid w:val="00dc3ab4"/>
    <w:rPr>
      <w:color w:val="800080"/>
      <w:u w:val="single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a002a2"/>
    <w:rPr>
      <w:rFonts w:ascii="Tahoma" w:hAnsi="Tahoma" w:cs="Tahoma"/>
      <w:sz w:val="16"/>
      <w:szCs w:val="16"/>
    </w:rPr>
  </w:style>
  <w:style w:type="character" w:styleId="FuzeileZchn" w:customStyle="1">
    <w:name w:val="Fußzeile Zchn"/>
    <w:basedOn w:val="DefaultParagraphFont"/>
    <w:qFormat/>
    <w:rsid w:val="007b4d26"/>
    <w:rPr/>
  </w:style>
  <w:style w:type="character" w:styleId="KopfzeileZchn" w:customStyle="1">
    <w:name w:val="Kopfzeile Zchn"/>
    <w:basedOn w:val="DefaultParagraphFont"/>
    <w:uiPriority w:val="99"/>
    <w:qFormat/>
    <w:rsid w:val="0065665e"/>
    <w:rPr/>
  </w:style>
  <w:style w:type="character" w:styleId="Strong">
    <w:name w:val="Strong"/>
    <w:basedOn w:val="DefaultParagraphFont"/>
    <w:uiPriority w:val="22"/>
    <w:qFormat/>
    <w:rsid w:val="0066420b"/>
    <w:rPr>
      <w:b/>
      <w:bCs/>
    </w:rPr>
  </w:style>
  <w:style w:type="character" w:styleId="Berschrift1Zchn" w:customStyle="1">
    <w:name w:val="Überschrift 1 Zchn"/>
    <w:basedOn w:val="DefaultParagraphFont"/>
    <w:uiPriority w:val="9"/>
    <w:qFormat/>
    <w:rsid w:val="00a44f24"/>
    <w:rPr>
      <w:b/>
      <w:bCs/>
      <w:kern w:val="2"/>
      <w:sz w:val="48"/>
      <w:szCs w:val="48"/>
    </w:rPr>
  </w:style>
  <w:style w:type="character" w:styleId="St1" w:customStyle="1">
    <w:name w:val="st1"/>
    <w:basedOn w:val="DefaultParagraphFont"/>
    <w:qFormat/>
    <w:rsid w:val="00d0739e"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rsid w:val="009c2d7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link w:val="FuzeileZchn"/>
    <w:rsid w:val="009c2d7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a002a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7213"/>
    <w:pPr>
      <w:spacing w:before="0" w:after="0"/>
      <w:ind w:left="720" w:hanging="0"/>
      <w:contextualSpacing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66420b"/>
    <w:pPr>
      <w:spacing w:beforeAutospacing="1" w:afterAutospacing="1"/>
    </w:pPr>
    <w:rPr>
      <w:sz w:val="24"/>
      <w:szCs w:val="24"/>
    </w:rPr>
  </w:style>
  <w:style w:type="paragraph" w:styleId="Rahmeninhalt">
    <w:name w:val="Rahmeninhalt"/>
    <w:basedOn w:val="Normal"/>
    <w:qFormat/>
    <w:pPr/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1413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LibreOffice/7.4.7.2$Linux_X86_64 LibreOffice_project/40$Build-2</Application>
  <AppVersion>15.0000</AppVersion>
  <Pages>4</Pages>
  <Words>542</Words>
  <Characters>5027</Characters>
  <CharactersWithSpaces>5571</CharactersWithSpaces>
  <Paragraphs>205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2017-10-10T10:27:00Z</dcterms:created>
  <dc:creator/>
  <dc:description/>
  <dc:language>de-DE</dc:language>
  <cp:lastModifiedBy/>
  <cp:lastPrinted>2014-09-19T12:23:00Z</cp:lastPrinted>
  <dcterms:modified xsi:type="dcterms:W3CDTF">2024-09-11T16:42:05Z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